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E58FF" w14:textId="7736E4C4" w:rsidR="002E33CC" w:rsidRPr="00713AB4" w:rsidRDefault="00275A4A" w:rsidP="5B01A4E9">
      <w:pPr>
        <w:spacing w:after="240" w:line="360" w:lineRule="auto"/>
        <w:ind w:right="85"/>
        <w:jc w:val="center"/>
        <w:textAlignment w:val="baseline"/>
        <w:rPr>
          <w:rFonts w:ascii="Calibri" w:eastAsia="Arial" w:hAnsi="Calibri" w:cs="Calibri"/>
          <w:b/>
          <w:bCs/>
          <w:color w:val="000000"/>
          <w:sz w:val="28"/>
          <w:szCs w:val="28"/>
          <w:lang w:val="en-GB"/>
        </w:rPr>
      </w:pPr>
      <w:bookmarkStart w:id="0" w:name="_Hlk167971272"/>
      <w:r w:rsidRPr="00713AB4">
        <w:rPr>
          <w:rFonts w:ascii="Calibri" w:eastAsia="Arial" w:hAnsi="Calibri" w:cs="Calibri"/>
          <w:b/>
          <w:bCs/>
          <w:color w:val="000000" w:themeColor="text1"/>
          <w:sz w:val="28"/>
          <w:szCs w:val="28"/>
          <w:lang w:val="en-GB"/>
        </w:rPr>
        <w:t>How to do judicial review</w:t>
      </w:r>
      <w:r w:rsidR="00F75AF8" w:rsidRPr="00713AB4">
        <w:rPr>
          <w:rFonts w:ascii="Calibri" w:eastAsia="Arial" w:hAnsi="Calibri" w:cs="Calibri"/>
          <w:b/>
          <w:bCs/>
          <w:color w:val="000000" w:themeColor="text1"/>
          <w:sz w:val="28"/>
          <w:szCs w:val="28"/>
          <w:lang w:val="en-GB"/>
        </w:rPr>
        <w:t xml:space="preserve"> May 2026</w:t>
      </w:r>
    </w:p>
    <w:bookmarkEnd w:id="0"/>
    <w:p w14:paraId="6F0A8D7D" w14:textId="77777777" w:rsidR="00A424A5" w:rsidRPr="00713AB4" w:rsidRDefault="00A424A5" w:rsidP="00022E42">
      <w:pPr>
        <w:spacing w:after="240" w:line="360" w:lineRule="auto"/>
        <w:ind w:right="85"/>
        <w:jc w:val="center"/>
        <w:textAlignment w:val="baseline"/>
        <w:rPr>
          <w:rFonts w:ascii="Calibri" w:eastAsia="Arial" w:hAnsi="Calibri" w:cs="Calibri"/>
          <w:b/>
          <w:color w:val="000000"/>
          <w:sz w:val="28"/>
          <w:szCs w:val="28"/>
          <w:lang w:val="en-GB"/>
        </w:rPr>
      </w:pPr>
    </w:p>
    <w:p w14:paraId="5427BE73" w14:textId="221DDF41" w:rsidR="002E33CC" w:rsidRPr="00713AB4" w:rsidRDefault="00152920" w:rsidP="00022E42">
      <w:pPr>
        <w:spacing w:after="240" w:line="360" w:lineRule="auto"/>
        <w:ind w:right="85"/>
        <w:jc w:val="center"/>
        <w:textAlignment w:val="baseline"/>
        <w:rPr>
          <w:rFonts w:ascii="Calibri" w:eastAsia="Arial" w:hAnsi="Calibri" w:cs="Calibri"/>
          <w:b/>
          <w:color w:val="000000"/>
          <w:sz w:val="28"/>
          <w:szCs w:val="28"/>
          <w:lang w:val="en-GB"/>
        </w:rPr>
      </w:pPr>
      <w:r w:rsidRPr="00713AB4">
        <w:rPr>
          <w:rFonts w:ascii="Calibri" w:eastAsia="Arial" w:hAnsi="Calibri" w:cs="Calibri"/>
          <w:b/>
          <w:color w:val="000000"/>
          <w:sz w:val="28"/>
          <w:szCs w:val="28"/>
          <w:lang w:val="en-GB"/>
        </w:rPr>
        <w:t>INTRODUC</w:t>
      </w:r>
      <w:r w:rsidR="00CF2E41" w:rsidRPr="00713AB4">
        <w:rPr>
          <w:rFonts w:ascii="Calibri" w:eastAsia="Arial" w:hAnsi="Calibri" w:cs="Calibri"/>
          <w:b/>
          <w:color w:val="000000"/>
          <w:sz w:val="28"/>
          <w:szCs w:val="28"/>
          <w:lang w:val="en-GB"/>
        </w:rPr>
        <w:t>TORY PRINCIPLES</w:t>
      </w:r>
      <w:r w:rsidRPr="00713AB4">
        <w:rPr>
          <w:rStyle w:val="FootnoteReference"/>
          <w:rFonts w:ascii="Calibri" w:eastAsia="Arial" w:hAnsi="Calibri" w:cs="Calibri"/>
          <w:b/>
          <w:color w:val="000000"/>
          <w:sz w:val="28"/>
          <w:szCs w:val="28"/>
          <w:lang w:val="en-GB"/>
        </w:rPr>
        <w:footnoteReference w:id="2"/>
      </w:r>
    </w:p>
    <w:p w14:paraId="3835B9C8" w14:textId="77777777" w:rsidR="00424DC6" w:rsidRPr="00713AB4" w:rsidRDefault="00424DC6" w:rsidP="00022E42">
      <w:pPr>
        <w:spacing w:after="240" w:line="360" w:lineRule="auto"/>
        <w:ind w:right="85"/>
        <w:jc w:val="center"/>
        <w:textAlignment w:val="baseline"/>
        <w:rPr>
          <w:rFonts w:ascii="Calibri" w:eastAsia="Arial" w:hAnsi="Calibri" w:cs="Calibri"/>
          <w:b/>
          <w:color w:val="000000"/>
          <w:sz w:val="28"/>
          <w:szCs w:val="28"/>
          <w:lang w:val="en-GB"/>
        </w:rPr>
      </w:pPr>
    </w:p>
    <w:p w14:paraId="50A27212" w14:textId="775AB5FC" w:rsidR="00152920" w:rsidRPr="00713AB4" w:rsidRDefault="00152920" w:rsidP="00F97EA2">
      <w:pPr>
        <w:numPr>
          <w:ilvl w:val="0"/>
          <w:numId w:val="5"/>
        </w:numPr>
        <w:tabs>
          <w:tab w:val="num" w:pos="709"/>
        </w:tabs>
        <w:spacing w:after="240" w:line="360" w:lineRule="auto"/>
        <w:ind w:hanging="720"/>
        <w:jc w:val="both"/>
        <w:rPr>
          <w:rFonts w:ascii="Calibri" w:eastAsia="Arial" w:hAnsi="Calibri" w:cs="Calibri"/>
          <w:b/>
          <w:color w:val="000000"/>
          <w:sz w:val="24"/>
          <w:szCs w:val="24"/>
          <w:lang w:val="en-GB"/>
        </w:rPr>
      </w:pPr>
      <w:r w:rsidRPr="00713AB4">
        <w:rPr>
          <w:rFonts w:ascii="Calibri" w:eastAsia="Arial" w:hAnsi="Calibri" w:cs="Calibri"/>
          <w:color w:val="000000"/>
          <w:sz w:val="24"/>
          <w:szCs w:val="24"/>
          <w:lang w:val="en-GB"/>
        </w:rPr>
        <w:t xml:space="preserve">What is </w:t>
      </w:r>
      <w:r w:rsidRPr="00390BE7">
        <w:rPr>
          <w:rFonts w:ascii="Calibri" w:eastAsia="Times New Roman" w:hAnsi="Calibri" w:cs="Calibri"/>
          <w:sz w:val="24"/>
          <w:szCs w:val="20"/>
          <w:lang w:val="en-GB"/>
        </w:rPr>
        <w:t>judicial</w:t>
      </w:r>
      <w:r w:rsidRPr="00713AB4">
        <w:rPr>
          <w:rFonts w:ascii="Calibri" w:eastAsia="Arial" w:hAnsi="Calibri" w:cs="Calibri"/>
          <w:color w:val="000000"/>
          <w:sz w:val="24"/>
          <w:szCs w:val="24"/>
          <w:lang w:val="en-GB"/>
        </w:rPr>
        <w:t xml:space="preserve"> review?</w:t>
      </w:r>
      <w:r w:rsidR="006D4658" w:rsidRPr="00713AB4">
        <w:rPr>
          <w:rFonts w:ascii="Calibri" w:eastAsia="Arial" w:hAnsi="Calibri" w:cs="Calibri"/>
          <w:color w:val="000000"/>
          <w:sz w:val="24"/>
          <w:szCs w:val="24"/>
          <w:lang w:val="en-GB"/>
        </w:rPr>
        <w:t xml:space="preserve"> Before answering that question, we need to understand what public law is.</w:t>
      </w:r>
      <w:r w:rsidRPr="00713AB4">
        <w:rPr>
          <w:rFonts w:ascii="Calibri" w:eastAsia="Arial" w:hAnsi="Calibri" w:cs="Calibri"/>
          <w:color w:val="000000"/>
          <w:sz w:val="24"/>
          <w:szCs w:val="24"/>
          <w:lang w:val="en-GB"/>
        </w:rPr>
        <w:t xml:space="preserve"> </w:t>
      </w:r>
    </w:p>
    <w:p w14:paraId="6EBB4D46" w14:textId="0BBC187A" w:rsidR="000A623A" w:rsidRPr="00713AB4" w:rsidRDefault="001D011D"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W</w:t>
      </w:r>
      <w:r w:rsidR="00152920" w:rsidRPr="00713AB4">
        <w:rPr>
          <w:rFonts w:ascii="Calibri" w:eastAsia="Arial" w:hAnsi="Calibri" w:cs="Calibri"/>
          <w:color w:val="000000"/>
          <w:sz w:val="24"/>
          <w:szCs w:val="24"/>
          <w:lang w:val="en-GB"/>
        </w:rPr>
        <w:t>hat is “Public Law”?</w:t>
      </w:r>
      <w:r w:rsidR="00B320F5" w:rsidRPr="00713AB4">
        <w:rPr>
          <w:rFonts w:ascii="Calibri" w:eastAsia="Arial" w:hAnsi="Calibri" w:cs="Calibri"/>
          <w:color w:val="000000"/>
          <w:sz w:val="24"/>
          <w:szCs w:val="24"/>
          <w:lang w:val="en-GB"/>
        </w:rPr>
        <w:t xml:space="preserve"> Public bodies, such as central and local government, </w:t>
      </w:r>
      <w:proofErr w:type="gramStart"/>
      <w:r w:rsidR="00B320F5" w:rsidRPr="00713AB4">
        <w:rPr>
          <w:rFonts w:ascii="Calibri" w:eastAsia="Arial" w:hAnsi="Calibri" w:cs="Calibri"/>
          <w:color w:val="000000"/>
          <w:sz w:val="24"/>
          <w:szCs w:val="24"/>
          <w:lang w:val="en-GB"/>
        </w:rPr>
        <w:t>have to</w:t>
      </w:r>
      <w:proofErr w:type="gramEnd"/>
      <w:r w:rsidR="00B320F5" w:rsidRPr="00713AB4">
        <w:rPr>
          <w:rFonts w:ascii="Calibri" w:eastAsia="Arial" w:hAnsi="Calibri" w:cs="Calibri"/>
          <w:color w:val="000000"/>
          <w:sz w:val="24"/>
          <w:szCs w:val="24"/>
          <w:lang w:val="en-GB"/>
        </w:rPr>
        <w:t xml:space="preserve"> obey the law. The type of law governing the conduct of public bodies is known as ‘public law’. Public law should ensure that public bodies act lawfully, rationally, fairly, and compatibly with the human rights of those affected by their actions.</w:t>
      </w:r>
      <w:r w:rsidR="001C183D" w:rsidRPr="00713AB4">
        <w:rPr>
          <w:rFonts w:ascii="Calibri" w:eastAsia="Arial" w:hAnsi="Calibri" w:cs="Calibri"/>
          <w:color w:val="000000"/>
          <w:sz w:val="24"/>
          <w:szCs w:val="24"/>
          <w:lang w:val="en-GB"/>
        </w:rPr>
        <w:t xml:space="preserve"> Put another way, it governs the relationships between individuals and the state.</w:t>
      </w:r>
      <w:r w:rsidR="00152920" w:rsidRPr="00713AB4">
        <w:rPr>
          <w:rFonts w:ascii="Calibri" w:eastAsia="Arial" w:hAnsi="Calibri" w:cs="Calibri"/>
          <w:color w:val="000000"/>
          <w:sz w:val="24"/>
          <w:szCs w:val="24"/>
          <w:lang w:val="en-GB"/>
        </w:rPr>
        <w:t xml:space="preserve"> </w:t>
      </w:r>
    </w:p>
    <w:p w14:paraId="7E9CF5E1" w14:textId="6221D2C9"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There are four main ways of seeking to enforce public law, each of which the judicial review practitioner </w:t>
      </w:r>
      <w:r w:rsidR="001B6D60" w:rsidRPr="00713AB4">
        <w:rPr>
          <w:rFonts w:ascii="Calibri" w:eastAsia="Arial" w:hAnsi="Calibri" w:cs="Calibri"/>
          <w:color w:val="000000"/>
          <w:sz w:val="24"/>
          <w:szCs w:val="24"/>
          <w:lang w:val="en-GB"/>
        </w:rPr>
        <w:t>needs to be</w:t>
      </w:r>
      <w:r w:rsidRPr="00713AB4">
        <w:rPr>
          <w:rFonts w:ascii="Calibri" w:eastAsia="Arial" w:hAnsi="Calibri" w:cs="Calibri"/>
          <w:color w:val="000000"/>
          <w:sz w:val="24"/>
          <w:szCs w:val="24"/>
          <w:lang w:val="en-GB"/>
        </w:rPr>
        <w:t xml:space="preserve"> aware of. They are:</w:t>
      </w:r>
    </w:p>
    <w:p w14:paraId="6691C214" w14:textId="78BD255E" w:rsidR="00152920" w:rsidRPr="00713AB4" w:rsidRDefault="00152920">
      <w:pPr>
        <w:pStyle w:val="ListParagraph"/>
        <w:numPr>
          <w:ilvl w:val="0"/>
          <w:numId w:val="13"/>
        </w:numPr>
        <w:tabs>
          <w:tab w:val="left" w:pos="360"/>
          <w:tab w:val="left" w:pos="1440"/>
        </w:tabs>
        <w:spacing w:after="240" w:line="360" w:lineRule="auto"/>
        <w:ind w:right="85"/>
        <w:contextualSpacing w:val="0"/>
        <w:jc w:val="both"/>
        <w:textAlignment w:val="baseline"/>
        <w:rPr>
          <w:rFonts w:ascii="Calibri" w:eastAsia="Arial" w:hAnsi="Calibri" w:cs="Calibri"/>
          <w:color w:val="000000"/>
          <w:spacing w:val="-1"/>
          <w:sz w:val="24"/>
          <w:szCs w:val="24"/>
          <w:lang w:val="en-GB"/>
        </w:rPr>
      </w:pPr>
      <w:r w:rsidRPr="00713AB4">
        <w:rPr>
          <w:rFonts w:ascii="Calibri" w:eastAsia="Arial" w:hAnsi="Calibri" w:cs="Calibri"/>
          <w:color w:val="000000"/>
          <w:spacing w:val="-1"/>
          <w:sz w:val="24"/>
          <w:szCs w:val="24"/>
          <w:lang w:val="en-GB"/>
        </w:rPr>
        <w:t>Complaints procedure</w:t>
      </w:r>
      <w:r w:rsidR="009E35F8" w:rsidRPr="00713AB4">
        <w:rPr>
          <w:rFonts w:ascii="Calibri" w:eastAsia="Arial" w:hAnsi="Calibri" w:cs="Calibri"/>
          <w:color w:val="000000"/>
          <w:spacing w:val="-1"/>
          <w:sz w:val="24"/>
          <w:szCs w:val="24"/>
          <w:lang w:val="en-GB"/>
        </w:rPr>
        <w:t>s using public bodies’ complaints procedures or Ombudsmen schemes</w:t>
      </w:r>
      <w:r w:rsidRPr="00713AB4">
        <w:rPr>
          <w:rFonts w:ascii="Calibri" w:eastAsia="Arial" w:hAnsi="Calibri" w:cs="Calibri"/>
          <w:color w:val="000000"/>
          <w:spacing w:val="-1"/>
          <w:sz w:val="24"/>
          <w:szCs w:val="24"/>
          <w:lang w:val="en-GB"/>
        </w:rPr>
        <w:t>;</w:t>
      </w:r>
    </w:p>
    <w:p w14:paraId="322905A1" w14:textId="7436CA64" w:rsidR="00152920" w:rsidRPr="00713AB4" w:rsidRDefault="00152920">
      <w:pPr>
        <w:pStyle w:val="ListParagraph"/>
        <w:numPr>
          <w:ilvl w:val="0"/>
          <w:numId w:val="13"/>
        </w:numPr>
        <w:tabs>
          <w:tab w:val="left" w:pos="360"/>
          <w:tab w:val="left" w:pos="1440"/>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Appeal processes</w:t>
      </w:r>
      <w:r w:rsidR="008E0573" w:rsidRPr="00713AB4">
        <w:rPr>
          <w:rFonts w:ascii="Calibri" w:eastAsia="Arial" w:hAnsi="Calibri" w:cs="Calibri"/>
          <w:color w:val="000000"/>
          <w:sz w:val="24"/>
          <w:szCs w:val="24"/>
          <w:lang w:val="en-GB"/>
        </w:rPr>
        <w:t xml:space="preserve"> (such as exercising a right of appeal to a tribunal)</w:t>
      </w:r>
      <w:r w:rsidRPr="00713AB4">
        <w:rPr>
          <w:rFonts w:ascii="Calibri" w:eastAsia="Arial" w:hAnsi="Calibri" w:cs="Calibri"/>
          <w:color w:val="000000"/>
          <w:sz w:val="24"/>
          <w:szCs w:val="24"/>
          <w:lang w:val="en-GB"/>
        </w:rPr>
        <w:t>;</w:t>
      </w:r>
    </w:p>
    <w:p w14:paraId="4F23199A" w14:textId="15AF5298" w:rsidR="008E0573" w:rsidRPr="00713AB4" w:rsidRDefault="008E0573">
      <w:pPr>
        <w:pStyle w:val="ListParagraph"/>
        <w:numPr>
          <w:ilvl w:val="0"/>
          <w:numId w:val="13"/>
        </w:numPr>
        <w:tabs>
          <w:tab w:val="left" w:pos="360"/>
          <w:tab w:val="left" w:pos="1440"/>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Asking a public body to review its decision</w:t>
      </w:r>
    </w:p>
    <w:p w14:paraId="4DCBF62E" w14:textId="77777777" w:rsidR="002079DB" w:rsidRPr="00713AB4" w:rsidRDefault="00152920" w:rsidP="002079DB">
      <w:pPr>
        <w:pStyle w:val="ListParagraph"/>
        <w:numPr>
          <w:ilvl w:val="0"/>
          <w:numId w:val="13"/>
        </w:numPr>
        <w:tabs>
          <w:tab w:val="left" w:pos="360"/>
          <w:tab w:val="left" w:pos="1440"/>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pacing w:val="-1"/>
          <w:sz w:val="24"/>
          <w:szCs w:val="24"/>
          <w:lang w:val="en-GB"/>
        </w:rPr>
        <w:t>Judicial review.</w:t>
      </w:r>
    </w:p>
    <w:p w14:paraId="6C3CB6D1" w14:textId="22558577" w:rsidR="009957CF" w:rsidRPr="00713AB4" w:rsidRDefault="00152920" w:rsidP="002079DB">
      <w:pPr>
        <w:pStyle w:val="ListParagraph"/>
        <w:numPr>
          <w:ilvl w:val="0"/>
          <w:numId w:val="5"/>
        </w:numPr>
        <w:tabs>
          <w:tab w:val="left" w:pos="709"/>
          <w:tab w:val="left" w:pos="1440"/>
        </w:tabs>
        <w:spacing w:after="240" w:line="360" w:lineRule="auto"/>
        <w:ind w:right="85" w:hanging="72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reason </w:t>
      </w:r>
      <w:r w:rsidR="00CF6109" w:rsidRPr="00713AB4">
        <w:rPr>
          <w:rFonts w:ascii="Calibri" w:eastAsia="Arial" w:hAnsi="Calibri" w:cs="Calibri"/>
          <w:color w:val="000000"/>
          <w:sz w:val="24"/>
          <w:szCs w:val="24"/>
          <w:lang w:val="en-GB"/>
        </w:rPr>
        <w:t xml:space="preserve">why </w:t>
      </w:r>
      <w:r w:rsidRPr="00713AB4">
        <w:rPr>
          <w:rFonts w:ascii="Calibri" w:eastAsia="Arial" w:hAnsi="Calibri" w:cs="Calibri"/>
          <w:color w:val="000000"/>
          <w:sz w:val="24"/>
          <w:szCs w:val="24"/>
          <w:lang w:val="en-GB"/>
        </w:rPr>
        <w:t xml:space="preserve">a judicial review practitioner must be aware of the potential availability of each of these remedies in every case is that judicial review is a remedy of last resort. That means that the court will require every judicial review claimant to show that there is no suitable alternative (i.e., non-judicial review) remedy that might give the claimant what he or she wants. Sometimes this will be an easy task: for </w:t>
      </w:r>
      <w:r w:rsidRPr="00713AB4">
        <w:rPr>
          <w:rFonts w:ascii="Calibri" w:eastAsia="Arial" w:hAnsi="Calibri" w:cs="Calibri"/>
          <w:color w:val="000000"/>
          <w:sz w:val="24"/>
          <w:szCs w:val="24"/>
          <w:lang w:val="en-GB"/>
        </w:rPr>
        <w:lastRenderedPageBreak/>
        <w:t>example a complaint to the UK Border Agency under the Agency’s complaints procedure would be unlikely to prevent a migrant without leave to enter the UK from being removed, and so a claimant challenging removal would generally have little difficulty in persuading the court that it was reasonable to bring a claim for judicial review without first making a complaint under the complaints procedure</w:t>
      </w:r>
      <w:r w:rsidRPr="00713AB4">
        <w:rPr>
          <w:rStyle w:val="FootnoteReference"/>
          <w:rFonts w:ascii="Calibri" w:eastAsia="Arial" w:hAnsi="Calibri" w:cs="Calibri"/>
          <w:color w:val="000000"/>
          <w:sz w:val="24"/>
          <w:szCs w:val="24"/>
          <w:lang w:val="en-GB"/>
        </w:rPr>
        <w:footnoteReference w:id="3"/>
      </w:r>
      <w:r w:rsidRPr="00713AB4">
        <w:rPr>
          <w:rFonts w:ascii="Calibri" w:eastAsia="Arial" w:hAnsi="Calibri" w:cs="Calibri"/>
          <w:color w:val="000000"/>
          <w:sz w:val="24"/>
          <w:szCs w:val="24"/>
          <w:lang w:val="en-GB"/>
        </w:rPr>
        <w:t>. But in every case, detailed consideration should be given by a judicial review claimant to the suitability of any alternative remedy (i.e., the degree to which it may provide the claimant with an acceptable outcome) on the facts of the case.</w:t>
      </w:r>
    </w:p>
    <w:p w14:paraId="7F692D04" w14:textId="29A9A571" w:rsidR="00152920" w:rsidRPr="00713AB4" w:rsidRDefault="00152920" w:rsidP="00740ABB">
      <w:pPr>
        <w:tabs>
          <w:tab w:val="left" w:pos="360"/>
          <w:tab w:val="left" w:pos="1512"/>
        </w:tabs>
        <w:spacing w:after="240" w:line="360" w:lineRule="auto"/>
        <w:ind w:left="357" w:right="85" w:firstLine="363"/>
        <w:jc w:val="both"/>
        <w:textAlignment w:val="baseline"/>
        <w:rPr>
          <w:rFonts w:ascii="Calibri" w:eastAsia="Arial" w:hAnsi="Calibri" w:cs="Calibri"/>
          <w:i/>
          <w:iCs/>
          <w:color w:val="000000"/>
          <w:spacing w:val="-2"/>
          <w:sz w:val="24"/>
          <w:szCs w:val="24"/>
          <w:lang w:val="en-GB"/>
        </w:rPr>
      </w:pPr>
      <w:r w:rsidRPr="00713AB4">
        <w:rPr>
          <w:rFonts w:ascii="Calibri" w:eastAsia="Arial" w:hAnsi="Calibri" w:cs="Calibri"/>
          <w:i/>
          <w:iCs/>
          <w:color w:val="000000"/>
          <w:spacing w:val="-2"/>
          <w:sz w:val="24"/>
          <w:szCs w:val="24"/>
          <w:lang w:val="en-GB"/>
        </w:rPr>
        <w:t xml:space="preserve">Complaints procedures </w:t>
      </w:r>
    </w:p>
    <w:p w14:paraId="00F0E77F" w14:textId="0980AC7D"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Complaints procedures exist in some areas and can provide a non-litigious, cheap and accessible way of resolving disputes, particularly where the issue is historic and so there are no concerns about timing or </w:t>
      </w:r>
      <w:r w:rsidR="00200CCC" w:rsidRPr="00713AB4">
        <w:rPr>
          <w:rFonts w:ascii="Calibri" w:eastAsia="Arial" w:hAnsi="Calibri" w:cs="Calibri"/>
          <w:color w:val="000000"/>
          <w:sz w:val="24"/>
          <w:szCs w:val="24"/>
          <w:lang w:val="en-GB"/>
        </w:rPr>
        <w:t xml:space="preserve">urgency (e.g. </w:t>
      </w:r>
      <w:r w:rsidRPr="00713AB4">
        <w:rPr>
          <w:rFonts w:ascii="Calibri" w:eastAsia="Arial" w:hAnsi="Calibri" w:cs="Calibri"/>
          <w:color w:val="000000"/>
          <w:sz w:val="24"/>
          <w:szCs w:val="24"/>
          <w:lang w:val="en-GB"/>
        </w:rPr>
        <w:t>interim relief</w:t>
      </w:r>
      <w:r w:rsidR="00200CCC" w:rsidRPr="00713AB4">
        <w:rPr>
          <w:rFonts w:ascii="Calibri" w:eastAsia="Arial" w:hAnsi="Calibri" w:cs="Calibri"/>
          <w:color w:val="000000"/>
          <w:sz w:val="24"/>
          <w:szCs w:val="24"/>
          <w:lang w:val="en-GB"/>
        </w:rPr>
        <w:t>)</w:t>
      </w:r>
      <w:r w:rsidRPr="00713AB4">
        <w:rPr>
          <w:rFonts w:ascii="Calibri" w:eastAsia="Arial" w:hAnsi="Calibri" w:cs="Calibri"/>
          <w:color w:val="000000"/>
          <w:sz w:val="24"/>
          <w:szCs w:val="24"/>
          <w:lang w:val="en-GB"/>
        </w:rPr>
        <w:t>. However, complaints tend to be investigated by the body about which the complaint is made, and the result of a complaint is not binding on the public body being complained about.</w:t>
      </w:r>
    </w:p>
    <w:p w14:paraId="34ED9C20" w14:textId="7A245BC2"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Ombudsmen schemes are designed to provide redress for injustice that arises </w:t>
      </w:r>
      <w:r w:rsidR="00057A0B" w:rsidRPr="00713AB4">
        <w:rPr>
          <w:rFonts w:ascii="Calibri" w:eastAsia="Arial" w:hAnsi="Calibri" w:cs="Calibri"/>
          <w:color w:val="000000"/>
          <w:sz w:val="24"/>
          <w:szCs w:val="24"/>
          <w:lang w:val="en-GB"/>
        </w:rPr>
        <w:t xml:space="preserve">from </w:t>
      </w:r>
      <w:r w:rsidRPr="00713AB4">
        <w:rPr>
          <w:rFonts w:ascii="Calibri" w:eastAsia="Arial" w:hAnsi="Calibri" w:cs="Calibri"/>
          <w:color w:val="000000"/>
          <w:sz w:val="24"/>
          <w:szCs w:val="24"/>
          <w:lang w:val="en-GB"/>
        </w:rPr>
        <w:t xml:space="preserve">maladministration. This often overlaps with the kinds of public law wrongs that judicial review claims might be challenging. For example, if a prisoner considers that </w:t>
      </w:r>
      <w:r w:rsidR="003C62AB" w:rsidRPr="00713AB4">
        <w:rPr>
          <w:rFonts w:ascii="Calibri" w:eastAsia="Arial" w:hAnsi="Calibri" w:cs="Calibri"/>
          <w:color w:val="000000"/>
          <w:sz w:val="24"/>
          <w:szCs w:val="24"/>
          <w:lang w:val="en-GB"/>
        </w:rPr>
        <w:t>they have</w:t>
      </w:r>
      <w:r w:rsidRPr="00713AB4">
        <w:rPr>
          <w:rFonts w:ascii="Calibri" w:eastAsia="Arial" w:hAnsi="Calibri" w:cs="Calibri"/>
          <w:color w:val="000000"/>
          <w:sz w:val="24"/>
          <w:szCs w:val="24"/>
          <w:lang w:val="en-GB"/>
        </w:rPr>
        <w:t xml:space="preserve"> been waiting for an unreasonably long time to access a rehabilitation course, </w:t>
      </w:r>
      <w:r w:rsidR="00642A9E" w:rsidRPr="00713AB4">
        <w:rPr>
          <w:rFonts w:ascii="Calibri" w:eastAsia="Arial" w:hAnsi="Calibri" w:cs="Calibri"/>
          <w:color w:val="000000"/>
          <w:sz w:val="24"/>
          <w:szCs w:val="24"/>
          <w:lang w:val="en-GB"/>
        </w:rPr>
        <w:t>t</w:t>
      </w:r>
      <w:r w:rsidRPr="00713AB4">
        <w:rPr>
          <w:rFonts w:ascii="Calibri" w:eastAsia="Arial" w:hAnsi="Calibri" w:cs="Calibri"/>
          <w:color w:val="000000"/>
          <w:sz w:val="24"/>
          <w:szCs w:val="24"/>
          <w:lang w:val="en-GB"/>
        </w:rPr>
        <w:t>he</w:t>
      </w:r>
      <w:r w:rsidR="00642A9E" w:rsidRPr="00713AB4">
        <w:rPr>
          <w:rFonts w:ascii="Calibri" w:eastAsia="Arial" w:hAnsi="Calibri" w:cs="Calibri"/>
          <w:color w:val="000000"/>
          <w:sz w:val="24"/>
          <w:szCs w:val="24"/>
          <w:lang w:val="en-GB"/>
        </w:rPr>
        <w:t>y</w:t>
      </w:r>
      <w:r w:rsidRPr="00713AB4">
        <w:rPr>
          <w:rFonts w:ascii="Calibri" w:eastAsia="Arial" w:hAnsi="Calibri" w:cs="Calibri"/>
          <w:color w:val="000000"/>
          <w:sz w:val="24"/>
          <w:szCs w:val="24"/>
          <w:lang w:val="en-GB"/>
        </w:rPr>
        <w:t xml:space="preserve"> could challenge the delay using judicial review on the grounds that it was unfair or contrary to </w:t>
      </w:r>
      <w:r w:rsidR="00642A9E" w:rsidRPr="00713AB4">
        <w:rPr>
          <w:rFonts w:ascii="Calibri" w:eastAsia="Arial" w:hAnsi="Calibri" w:cs="Calibri"/>
          <w:color w:val="000000"/>
          <w:sz w:val="24"/>
          <w:szCs w:val="24"/>
          <w:lang w:val="en-GB"/>
        </w:rPr>
        <w:t>their</w:t>
      </w:r>
      <w:r w:rsidRPr="00713AB4">
        <w:rPr>
          <w:rFonts w:ascii="Calibri" w:eastAsia="Arial" w:hAnsi="Calibri" w:cs="Calibri"/>
          <w:color w:val="000000"/>
          <w:sz w:val="24"/>
          <w:szCs w:val="24"/>
          <w:lang w:val="en-GB"/>
        </w:rPr>
        <w:t xml:space="preserve"> human rights, and/or he could make representations to the Prison and Probation Ombudsman so as to get them to investigate </w:t>
      </w:r>
      <w:r w:rsidRPr="00390BE7">
        <w:rPr>
          <w:rFonts w:ascii="Calibri" w:eastAsia="Times New Roman" w:hAnsi="Calibri" w:cs="Calibri"/>
          <w:sz w:val="24"/>
          <w:szCs w:val="20"/>
          <w:lang w:val="en-GB"/>
        </w:rPr>
        <w:t>the</w:t>
      </w:r>
      <w:r w:rsidRPr="00713AB4">
        <w:rPr>
          <w:rFonts w:ascii="Calibri" w:eastAsia="Arial" w:hAnsi="Calibri" w:cs="Calibri"/>
          <w:color w:val="000000"/>
          <w:sz w:val="24"/>
          <w:szCs w:val="24"/>
          <w:lang w:val="en-GB"/>
        </w:rPr>
        <w:t xml:space="preserve"> delay, on the grounds that the prison’s poor administration has caused him the injustice of not being able to get parole because he has not completed a particular course.</w:t>
      </w:r>
      <w:r w:rsidR="002F4086" w:rsidRPr="00713AB4">
        <w:rPr>
          <w:rFonts w:ascii="Calibri" w:eastAsia="Arial" w:hAnsi="Calibri" w:cs="Calibri"/>
          <w:color w:val="000000"/>
          <w:sz w:val="24"/>
          <w:szCs w:val="24"/>
          <w:lang w:val="en-GB"/>
        </w:rPr>
        <w:t xml:space="preserve"> There will be many cases where judicial review takes priority over complaints to the ombudsman. As the Supreme Court put it in </w:t>
      </w:r>
      <w:r w:rsidR="002F4086" w:rsidRPr="00713AB4">
        <w:rPr>
          <w:rFonts w:ascii="Calibri" w:eastAsia="Arial" w:hAnsi="Calibri" w:cs="Calibri"/>
          <w:i/>
          <w:iCs/>
          <w:color w:val="000000"/>
          <w:sz w:val="24"/>
          <w:szCs w:val="24"/>
          <w:lang w:val="en-GB"/>
        </w:rPr>
        <w:t xml:space="preserve">In Re </w:t>
      </w:r>
      <w:proofErr w:type="spellStart"/>
      <w:r w:rsidR="002F4086" w:rsidRPr="00713AB4">
        <w:rPr>
          <w:rFonts w:ascii="Calibri" w:eastAsia="Arial" w:hAnsi="Calibri" w:cs="Calibri"/>
          <w:i/>
          <w:iCs/>
          <w:color w:val="000000"/>
          <w:sz w:val="24"/>
          <w:szCs w:val="24"/>
          <w:lang w:val="en-GB"/>
        </w:rPr>
        <w:t>McAleenon</w:t>
      </w:r>
      <w:proofErr w:type="spellEnd"/>
      <w:r w:rsidR="002F4086" w:rsidRPr="00713AB4">
        <w:rPr>
          <w:rFonts w:ascii="Calibri" w:eastAsia="Arial" w:hAnsi="Calibri" w:cs="Calibri"/>
          <w:color w:val="000000"/>
          <w:sz w:val="24"/>
          <w:szCs w:val="24"/>
          <w:lang w:val="en-GB"/>
        </w:rPr>
        <w:t xml:space="preserve"> [2024] UKSC 31</w:t>
      </w:r>
      <w:r w:rsidR="00E75BB9" w:rsidRPr="00713AB4">
        <w:rPr>
          <w:rFonts w:ascii="Calibri" w:eastAsia="Arial" w:hAnsi="Calibri" w:cs="Calibri"/>
          <w:color w:val="000000"/>
          <w:sz w:val="24"/>
          <w:szCs w:val="24"/>
          <w:lang w:val="en-GB"/>
        </w:rPr>
        <w:t>, [2025] AC 1362</w:t>
      </w:r>
      <w:r w:rsidR="002F4086" w:rsidRPr="00713AB4">
        <w:rPr>
          <w:rFonts w:ascii="Calibri" w:eastAsia="Arial" w:hAnsi="Calibri" w:cs="Calibri"/>
          <w:color w:val="000000"/>
          <w:sz w:val="24"/>
          <w:szCs w:val="24"/>
          <w:lang w:val="en-GB"/>
        </w:rPr>
        <w:t xml:space="preserve"> at [63]:</w:t>
      </w:r>
    </w:p>
    <w:p w14:paraId="6D4D5FE5" w14:textId="4F76B3A0" w:rsidR="002F4086" w:rsidRPr="00713AB4" w:rsidRDefault="002F4086" w:rsidP="00713AB4">
      <w:pPr>
        <w:pStyle w:val="BodyTextIndent"/>
        <w:rPr>
          <w:lang w:val="en-GB"/>
        </w:rPr>
      </w:pPr>
      <w:r w:rsidRPr="00713AB4">
        <w:rPr>
          <w:lang w:val="en-GB"/>
        </w:rPr>
        <w:t xml:space="preserve">“The general position is that the opportunity to complain to an ombudsman does not affect the right of an individual to bring a judicial review claim against a public authority … The role of an ombudsman is intended by Parliament to </w:t>
      </w:r>
      <w:r w:rsidRPr="00713AB4">
        <w:rPr>
          <w:lang w:val="en-GB"/>
        </w:rPr>
        <w:lastRenderedPageBreak/>
        <w:t>supplement control of public authorities by the courts through judicial review, not to replace it … Judicial review therefore has priority as against a complaint to the ombudsman, so such a complaint does not constitute a suitable alternative remedy in the present case.”</w:t>
      </w:r>
    </w:p>
    <w:p w14:paraId="63B77AC8" w14:textId="15E44BD0" w:rsidR="00862A9D" w:rsidRPr="00713AB4" w:rsidRDefault="002F4086" w:rsidP="00862A9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It</w:t>
      </w:r>
      <w:r w:rsidR="00152920" w:rsidRPr="00713AB4">
        <w:rPr>
          <w:rFonts w:ascii="Calibri" w:eastAsia="Arial" w:hAnsi="Calibri" w:cs="Calibri"/>
          <w:color w:val="000000"/>
          <w:sz w:val="24"/>
          <w:szCs w:val="24"/>
          <w:lang w:val="en-GB"/>
        </w:rPr>
        <w:t xml:space="preserve"> must be remembered that the ombudsman is only able to </w:t>
      </w:r>
      <w:r w:rsidR="00152920" w:rsidRPr="00390BE7">
        <w:rPr>
          <w:rFonts w:ascii="Calibri" w:eastAsia="Times New Roman" w:hAnsi="Calibri" w:cs="Calibri"/>
          <w:sz w:val="24"/>
          <w:szCs w:val="20"/>
          <w:lang w:val="en-GB"/>
        </w:rPr>
        <w:t>investigate</w:t>
      </w:r>
      <w:r w:rsidR="00152920" w:rsidRPr="00713AB4">
        <w:rPr>
          <w:rFonts w:ascii="Calibri" w:eastAsia="Arial" w:hAnsi="Calibri" w:cs="Calibri"/>
          <w:color w:val="000000"/>
          <w:sz w:val="24"/>
          <w:szCs w:val="24"/>
          <w:lang w:val="en-GB"/>
        </w:rPr>
        <w:t xml:space="preserve"> maladministration that causes injustice.</w:t>
      </w:r>
      <w:r w:rsidR="00B6264D" w:rsidRPr="00713AB4">
        <w:rPr>
          <w:rFonts w:ascii="Calibri" w:eastAsia="Arial" w:hAnsi="Calibri" w:cs="Calibri"/>
          <w:color w:val="000000"/>
          <w:sz w:val="24"/>
          <w:szCs w:val="24"/>
          <w:lang w:val="en-GB"/>
        </w:rPr>
        <w:t xml:space="preserve"> </w:t>
      </w:r>
      <w:r w:rsidR="00152920" w:rsidRPr="00713AB4">
        <w:rPr>
          <w:rFonts w:ascii="Calibri" w:eastAsia="Arial" w:hAnsi="Calibri" w:cs="Calibri"/>
          <w:color w:val="000000"/>
          <w:sz w:val="24"/>
          <w:szCs w:val="24"/>
          <w:lang w:val="en-GB"/>
        </w:rPr>
        <w:t>Maladministration includes:</w:t>
      </w:r>
    </w:p>
    <w:p w14:paraId="26B243B3" w14:textId="77777777"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bias;</w:t>
      </w:r>
    </w:p>
    <w:p w14:paraId="1FDC007F" w14:textId="77777777"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neglect;</w:t>
      </w:r>
    </w:p>
    <w:p w14:paraId="560BD324" w14:textId="77777777"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inattention;</w:t>
      </w:r>
    </w:p>
    <w:p w14:paraId="1EAFDF1A" w14:textId="77777777"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delay;</w:t>
      </w:r>
    </w:p>
    <w:p w14:paraId="5C0EA5CF" w14:textId="77777777"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incompetence;</w:t>
      </w:r>
    </w:p>
    <w:p w14:paraId="38FBED56" w14:textId="77777777"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ineptitude;</w:t>
      </w:r>
    </w:p>
    <w:p w14:paraId="33CCCEBD" w14:textId="77777777"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perversity;</w:t>
      </w:r>
    </w:p>
    <w:p w14:paraId="532401F9" w14:textId="77777777"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turpitude; and</w:t>
      </w:r>
    </w:p>
    <w:p w14:paraId="1BE0E377" w14:textId="6EA3D92B" w:rsidR="00862A9D" w:rsidRPr="00713AB4" w:rsidRDefault="00862A9D" w:rsidP="00862A9D">
      <w:pPr>
        <w:pStyle w:val="ListParagraph"/>
        <w:numPr>
          <w:ilvl w:val="0"/>
          <w:numId w:val="25"/>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arbitrariness</w:t>
      </w:r>
    </w:p>
    <w:p w14:paraId="2E7436A5" w14:textId="47064772" w:rsidR="00152920" w:rsidRPr="00713AB4" w:rsidRDefault="00152920" w:rsidP="00862A9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There are </w:t>
      </w:r>
      <w:proofErr w:type="gramStart"/>
      <w:r w:rsidRPr="00713AB4">
        <w:rPr>
          <w:rFonts w:ascii="Calibri" w:eastAsia="Arial" w:hAnsi="Calibri" w:cs="Calibri"/>
          <w:color w:val="000000"/>
          <w:sz w:val="24"/>
          <w:szCs w:val="24"/>
          <w:lang w:val="en-GB"/>
        </w:rPr>
        <w:t>a number of</w:t>
      </w:r>
      <w:proofErr w:type="gramEnd"/>
      <w:r w:rsidRPr="00713AB4">
        <w:rPr>
          <w:rFonts w:ascii="Calibri" w:eastAsia="Arial" w:hAnsi="Calibri" w:cs="Calibri"/>
          <w:color w:val="000000"/>
          <w:sz w:val="24"/>
          <w:szCs w:val="24"/>
          <w:lang w:val="en-GB"/>
        </w:rPr>
        <w:t xml:space="preserve"> different ombudsmen for different areas, including the Local Government Ombudsman, the Prison and Probation Ombudsman and the Parliamentary and Health Service Ombudsman.</w:t>
      </w:r>
      <w:r w:rsidR="00273AD5" w:rsidRPr="00713AB4">
        <w:rPr>
          <w:rFonts w:ascii="Calibri" w:eastAsia="Arial" w:hAnsi="Calibri" w:cs="Calibri"/>
          <w:color w:val="000000"/>
          <w:sz w:val="24"/>
          <w:szCs w:val="24"/>
          <w:lang w:val="en-GB"/>
        </w:rPr>
        <w:t xml:space="preserve"> </w:t>
      </w:r>
    </w:p>
    <w:p w14:paraId="3B611A54" w14:textId="77777777"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The following principles govern ombudsman schemes in general:</w:t>
      </w:r>
    </w:p>
    <w:p w14:paraId="173BDFCF" w14:textId="77777777" w:rsidR="00152920" w:rsidRPr="00713AB4" w:rsidRDefault="00152920">
      <w:pPr>
        <w:pStyle w:val="ListParagraph"/>
        <w:numPr>
          <w:ilvl w:val="0"/>
          <w:numId w:val="14"/>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complaint must be about (a) administrative actions (or failures to act); (b) by a body over which that </w:t>
      </w:r>
      <w:proofErr w:type="gramStart"/>
      <w:r w:rsidRPr="00713AB4">
        <w:rPr>
          <w:rFonts w:ascii="Calibri" w:eastAsia="Arial" w:hAnsi="Calibri" w:cs="Calibri"/>
          <w:color w:val="000000"/>
          <w:sz w:val="24"/>
          <w:szCs w:val="24"/>
          <w:lang w:val="en-GB"/>
        </w:rPr>
        <w:t>particular ombudsman</w:t>
      </w:r>
      <w:proofErr w:type="gramEnd"/>
      <w:r w:rsidRPr="00713AB4">
        <w:rPr>
          <w:rFonts w:ascii="Calibri" w:eastAsia="Arial" w:hAnsi="Calibri" w:cs="Calibri"/>
          <w:color w:val="000000"/>
          <w:sz w:val="24"/>
          <w:szCs w:val="24"/>
          <w:lang w:val="en-GB"/>
        </w:rPr>
        <w:t xml:space="preserve"> has jurisdiction; (c) which led to injustice; and (d) which remains unremedied;</w:t>
      </w:r>
    </w:p>
    <w:p w14:paraId="6F05D320" w14:textId="77777777" w:rsidR="00152920" w:rsidRPr="00713AB4" w:rsidRDefault="00152920">
      <w:pPr>
        <w:pStyle w:val="ListParagraph"/>
        <w:numPr>
          <w:ilvl w:val="0"/>
          <w:numId w:val="14"/>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Internal complaints procedures must be exhausted first, unless it is unreasonable to expect this, and there must be no other available remedy </w:t>
      </w:r>
      <w:r w:rsidRPr="00713AB4">
        <w:rPr>
          <w:rFonts w:ascii="Calibri" w:eastAsia="Arial" w:hAnsi="Calibri" w:cs="Calibri"/>
          <w:color w:val="000000"/>
          <w:sz w:val="24"/>
          <w:szCs w:val="24"/>
          <w:lang w:val="en-GB"/>
        </w:rPr>
        <w:lastRenderedPageBreak/>
        <w:t>(for example, an appeal to a tribunal or court action), or if there is such a remedy it must be unreasonable to expect the individual to use it.</w:t>
      </w:r>
    </w:p>
    <w:p w14:paraId="4D81650A" w14:textId="5B62DB47" w:rsidR="00152920" w:rsidRPr="00713AB4" w:rsidRDefault="00152920" w:rsidP="00E40D25">
      <w:pPr>
        <w:pStyle w:val="ListParagraph"/>
        <w:numPr>
          <w:ilvl w:val="0"/>
          <w:numId w:val="14"/>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lang w:val="en-GB"/>
        </w:rPr>
      </w:pPr>
      <w:r w:rsidRPr="00713AB4">
        <w:rPr>
          <w:rFonts w:ascii="Calibri" w:eastAsia="Arial" w:hAnsi="Calibri" w:cs="Calibri"/>
          <w:color w:val="000000" w:themeColor="text1"/>
          <w:sz w:val="24"/>
          <w:szCs w:val="24"/>
          <w:lang w:val="en-GB"/>
        </w:rPr>
        <w:t>The claim must be brought within the time limit (usually 12 months</w:t>
      </w:r>
      <w:r w:rsidR="00C820CB" w:rsidRPr="00713AB4">
        <w:rPr>
          <w:rFonts w:ascii="Calibri" w:eastAsia="Arial" w:hAnsi="Calibri" w:cs="Calibri"/>
          <w:color w:val="000000" w:themeColor="text1"/>
          <w:sz w:val="24"/>
          <w:szCs w:val="24"/>
          <w:lang w:val="en-GB"/>
        </w:rPr>
        <w:t>, although this should be checked carefully depending on the ombudsman in question</w:t>
      </w:r>
      <w:r w:rsidRPr="00713AB4">
        <w:rPr>
          <w:rFonts w:ascii="Calibri" w:eastAsia="Arial" w:hAnsi="Calibri" w:cs="Calibri"/>
          <w:color w:val="000000" w:themeColor="text1"/>
          <w:sz w:val="24"/>
          <w:szCs w:val="24"/>
          <w:lang w:val="en-GB"/>
        </w:rPr>
        <w:t>) unless there is good cause to extend time;</w:t>
      </w:r>
    </w:p>
    <w:p w14:paraId="6A860BCF" w14:textId="77777777" w:rsidR="00524483" w:rsidRPr="00713AB4" w:rsidRDefault="00152920">
      <w:pPr>
        <w:pStyle w:val="ListParagraph"/>
        <w:numPr>
          <w:ilvl w:val="0"/>
          <w:numId w:val="14"/>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The merits of discretionary decisions are not questionable, except where there is maladministration;</w:t>
      </w:r>
    </w:p>
    <w:p w14:paraId="4FD0FD51" w14:textId="65578B40" w:rsidR="00152920" w:rsidRPr="00713AB4" w:rsidRDefault="00152920">
      <w:pPr>
        <w:pStyle w:val="ListParagraph"/>
        <w:numPr>
          <w:ilvl w:val="0"/>
          <w:numId w:val="14"/>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An investigation will not normally be carried out if it is not possible to identify a potential appropriate remedy.</w:t>
      </w:r>
    </w:p>
    <w:p w14:paraId="1F92DE79" w14:textId="48635AA2"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w:t>
      </w:r>
      <w:r w:rsidRPr="00390BE7">
        <w:rPr>
          <w:rFonts w:ascii="Calibri" w:eastAsia="Times New Roman" w:hAnsi="Calibri" w:cs="Calibri"/>
          <w:sz w:val="24"/>
          <w:szCs w:val="20"/>
          <w:lang w:val="en-GB"/>
        </w:rPr>
        <w:t>following</w:t>
      </w:r>
      <w:r w:rsidRPr="00713AB4">
        <w:rPr>
          <w:rFonts w:ascii="Calibri" w:eastAsia="Arial" w:hAnsi="Calibri" w:cs="Calibri"/>
          <w:color w:val="000000"/>
          <w:sz w:val="24"/>
          <w:szCs w:val="24"/>
          <w:lang w:val="en-GB"/>
        </w:rPr>
        <w:t xml:space="preserve"> are some common advantages of ombudsmen schemes:</w:t>
      </w:r>
    </w:p>
    <w:p w14:paraId="606D9DD3" w14:textId="77777777" w:rsidR="00152920" w:rsidRPr="00713AB4" w:rsidRDefault="00152920">
      <w:pPr>
        <w:pStyle w:val="ListParagraph"/>
        <w:numPr>
          <w:ilvl w:val="0"/>
          <w:numId w:val="14"/>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The process is simple and cheap, with no potential exposure to costs liability;</w:t>
      </w:r>
    </w:p>
    <w:p w14:paraId="0FB0B606" w14:textId="77777777" w:rsidR="009957CF" w:rsidRPr="00713AB4" w:rsidRDefault="00152920">
      <w:pPr>
        <w:pStyle w:val="ListParagraph"/>
        <w:numPr>
          <w:ilvl w:val="0"/>
          <w:numId w:val="14"/>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Ombudsmen’s reports may encourage better practice and can be useful political ammunition for changing practice;</w:t>
      </w:r>
    </w:p>
    <w:p w14:paraId="355BE829" w14:textId="0BFB88D4" w:rsidR="00524483" w:rsidRPr="00713AB4" w:rsidRDefault="00152920">
      <w:pPr>
        <w:pStyle w:val="ListParagraph"/>
        <w:numPr>
          <w:ilvl w:val="0"/>
          <w:numId w:val="14"/>
        </w:numPr>
        <w:tabs>
          <w:tab w:val="left" w:pos="360"/>
          <w:tab w:val="left" w:pos="1512"/>
        </w:tabs>
        <w:spacing w:after="240" w:line="360" w:lineRule="auto"/>
        <w:ind w:left="1434" w:right="85" w:hanging="357"/>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Ombudsmen can recommend compensation which, although not legally enforceable, is almost always paid.</w:t>
      </w:r>
    </w:p>
    <w:p w14:paraId="1F868EB8" w14:textId="77777777" w:rsidR="009957CF"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w:t>
      </w:r>
      <w:r w:rsidRPr="00390BE7">
        <w:rPr>
          <w:rFonts w:ascii="Calibri" w:eastAsia="Times New Roman" w:hAnsi="Calibri" w:cs="Calibri"/>
          <w:sz w:val="24"/>
          <w:szCs w:val="20"/>
          <w:lang w:val="en-GB"/>
        </w:rPr>
        <w:t>following</w:t>
      </w:r>
      <w:r w:rsidRPr="00713AB4">
        <w:rPr>
          <w:rFonts w:ascii="Calibri" w:eastAsia="Arial" w:hAnsi="Calibri" w:cs="Calibri"/>
          <w:color w:val="000000"/>
          <w:sz w:val="24"/>
          <w:szCs w:val="24"/>
          <w:lang w:val="en-GB"/>
        </w:rPr>
        <w:t xml:space="preserve"> are some common disadvantages of using ombudsmen schemes:</w:t>
      </w:r>
    </w:p>
    <w:p w14:paraId="5621E3B0" w14:textId="081DF3B3" w:rsidR="00152920" w:rsidRPr="00713AB4" w:rsidRDefault="00152920">
      <w:pPr>
        <w:pStyle w:val="ListParagraph"/>
        <w:numPr>
          <w:ilvl w:val="0"/>
          <w:numId w:val="2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process is sometimes </w:t>
      </w:r>
      <w:proofErr w:type="gramStart"/>
      <w:r w:rsidRPr="00713AB4">
        <w:rPr>
          <w:rFonts w:ascii="Calibri" w:eastAsia="Arial" w:hAnsi="Calibri" w:cs="Calibri"/>
          <w:color w:val="000000"/>
          <w:sz w:val="24"/>
          <w:szCs w:val="24"/>
          <w:lang w:val="en-GB"/>
        </w:rPr>
        <w:t>slow</w:t>
      </w:r>
      <w:proofErr w:type="gramEnd"/>
      <w:r w:rsidRPr="00713AB4">
        <w:rPr>
          <w:rFonts w:ascii="Calibri" w:eastAsia="Arial" w:hAnsi="Calibri" w:cs="Calibri"/>
          <w:color w:val="000000"/>
          <w:sz w:val="24"/>
          <w:szCs w:val="24"/>
          <w:lang w:val="en-GB"/>
        </w:rPr>
        <w:t xml:space="preserve"> and no interim remedies are available;</w:t>
      </w:r>
    </w:p>
    <w:p w14:paraId="3EB3F765" w14:textId="77777777" w:rsidR="009957CF" w:rsidRPr="00713AB4" w:rsidRDefault="00152920">
      <w:pPr>
        <w:pStyle w:val="ListParagraph"/>
        <w:numPr>
          <w:ilvl w:val="0"/>
          <w:numId w:val="2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There is no duty to investigate;</w:t>
      </w:r>
    </w:p>
    <w:p w14:paraId="72996A59" w14:textId="77777777" w:rsidR="009957CF" w:rsidRPr="00713AB4" w:rsidRDefault="00152920">
      <w:pPr>
        <w:pStyle w:val="ListParagraph"/>
        <w:numPr>
          <w:ilvl w:val="0"/>
          <w:numId w:val="2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pacing w:val="-1"/>
          <w:sz w:val="24"/>
          <w:szCs w:val="24"/>
          <w:lang w:val="en-GB"/>
        </w:rPr>
        <w:t xml:space="preserve">Ombudsman reports are unlikely to be as effective in dealing with points of law, at least where there is lack of clarity (for example, the Ombudsman had been questioning the power of local authorities to charge for services provided under section 117 of the Mental Health Act 1983 for some years, but local authority practice did not change until </w:t>
      </w:r>
      <w:r w:rsidRPr="00713AB4">
        <w:rPr>
          <w:rFonts w:ascii="Calibri" w:eastAsia="Arial" w:hAnsi="Calibri" w:cs="Calibri"/>
          <w:i/>
          <w:color w:val="000000"/>
          <w:spacing w:val="-1"/>
          <w:sz w:val="24"/>
          <w:szCs w:val="24"/>
          <w:lang w:val="en-GB"/>
        </w:rPr>
        <w:t xml:space="preserve">R v Richmond Borough Council ex </w:t>
      </w:r>
      <w:proofErr w:type="spellStart"/>
      <w:r w:rsidRPr="00713AB4">
        <w:rPr>
          <w:rFonts w:ascii="Calibri" w:eastAsia="Arial" w:hAnsi="Calibri" w:cs="Calibri"/>
          <w:i/>
          <w:color w:val="000000"/>
          <w:spacing w:val="-1"/>
          <w:sz w:val="24"/>
          <w:szCs w:val="24"/>
          <w:lang w:val="en-GB"/>
        </w:rPr>
        <w:t>parte</w:t>
      </w:r>
      <w:proofErr w:type="spellEnd"/>
      <w:r w:rsidRPr="00713AB4">
        <w:rPr>
          <w:rFonts w:ascii="Calibri" w:eastAsia="Arial" w:hAnsi="Calibri" w:cs="Calibri"/>
          <w:i/>
          <w:color w:val="000000"/>
          <w:spacing w:val="-1"/>
          <w:sz w:val="24"/>
          <w:szCs w:val="24"/>
          <w:lang w:val="en-GB"/>
        </w:rPr>
        <w:t xml:space="preserve"> Watson and others </w:t>
      </w:r>
      <w:r w:rsidRPr="00713AB4">
        <w:rPr>
          <w:rFonts w:ascii="Calibri" w:eastAsia="Arial" w:hAnsi="Calibri" w:cs="Calibri"/>
          <w:color w:val="000000"/>
          <w:spacing w:val="-1"/>
          <w:sz w:val="24"/>
          <w:szCs w:val="24"/>
          <w:lang w:val="en-GB"/>
        </w:rPr>
        <w:t>[2002] UKHL 34, [2002] 3 WLR 584;</w:t>
      </w:r>
    </w:p>
    <w:p w14:paraId="3FEEF717" w14:textId="07EB0005" w:rsidR="009957CF" w:rsidRPr="00713AB4" w:rsidRDefault="00152920">
      <w:pPr>
        <w:pStyle w:val="ListParagraph"/>
        <w:numPr>
          <w:ilvl w:val="0"/>
          <w:numId w:val="2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lastRenderedPageBreak/>
        <w:t>The Ombudsman’s recommendations are not binding upon the public body concerned</w:t>
      </w:r>
      <w:r w:rsidR="00524483" w:rsidRPr="00713AB4">
        <w:rPr>
          <w:rFonts w:ascii="Calibri" w:eastAsia="Arial" w:hAnsi="Calibri" w:cs="Calibri"/>
          <w:color w:val="000000"/>
          <w:sz w:val="24"/>
          <w:szCs w:val="24"/>
          <w:lang w:val="en-GB"/>
        </w:rPr>
        <w:t xml:space="preserve"> </w:t>
      </w:r>
      <w:r w:rsidRPr="00713AB4">
        <w:rPr>
          <w:rFonts w:ascii="Calibri" w:eastAsia="Arial" w:hAnsi="Calibri" w:cs="Calibri"/>
          <w:color w:val="000000"/>
          <w:sz w:val="24"/>
          <w:szCs w:val="24"/>
          <w:lang w:val="en-GB"/>
        </w:rPr>
        <w:t>(although recommendations are usually given effect</w:t>
      </w:r>
      <w:r w:rsidR="008657A5" w:rsidRPr="00713AB4">
        <w:rPr>
          <w:rFonts w:ascii="Calibri" w:eastAsia="Arial" w:hAnsi="Calibri" w:cs="Calibri"/>
          <w:color w:val="000000"/>
          <w:sz w:val="24"/>
          <w:szCs w:val="24"/>
          <w:lang w:val="en-GB"/>
        </w:rPr>
        <w:t xml:space="preserve"> and a failure </w:t>
      </w:r>
      <w:r w:rsidR="00B72CAA" w:rsidRPr="00713AB4">
        <w:rPr>
          <w:rFonts w:ascii="Calibri" w:eastAsia="Arial" w:hAnsi="Calibri" w:cs="Calibri"/>
          <w:color w:val="000000"/>
          <w:sz w:val="24"/>
          <w:szCs w:val="24"/>
          <w:lang w:val="en-GB"/>
        </w:rPr>
        <w:t xml:space="preserve">by the public body </w:t>
      </w:r>
      <w:r w:rsidR="004410A2" w:rsidRPr="00713AB4">
        <w:rPr>
          <w:rFonts w:ascii="Calibri" w:eastAsia="Arial" w:hAnsi="Calibri" w:cs="Calibri"/>
          <w:color w:val="000000"/>
          <w:sz w:val="24"/>
          <w:szCs w:val="24"/>
          <w:lang w:val="en-GB"/>
        </w:rPr>
        <w:t xml:space="preserve">concerned </w:t>
      </w:r>
      <w:r w:rsidR="008657A5" w:rsidRPr="00713AB4">
        <w:rPr>
          <w:rFonts w:ascii="Calibri" w:eastAsia="Arial" w:hAnsi="Calibri" w:cs="Calibri"/>
          <w:color w:val="000000"/>
          <w:sz w:val="24"/>
          <w:szCs w:val="24"/>
          <w:lang w:val="en-GB"/>
        </w:rPr>
        <w:t>to follow an Ombudsman’s recommendation could itself be challengeable by way of judicial review</w:t>
      </w:r>
      <w:r w:rsidRPr="00713AB4">
        <w:rPr>
          <w:rFonts w:ascii="Calibri" w:eastAsia="Arial" w:hAnsi="Calibri" w:cs="Calibri"/>
          <w:color w:val="000000"/>
          <w:sz w:val="24"/>
          <w:szCs w:val="24"/>
          <w:lang w:val="en-GB"/>
        </w:rPr>
        <w:t>).</w:t>
      </w:r>
    </w:p>
    <w:p w14:paraId="26BF9F28" w14:textId="6DB3569E" w:rsidR="009A616D" w:rsidRPr="00713AB4" w:rsidRDefault="009A616D" w:rsidP="00713AB4">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One recent example has exposed these advantages and disadvantages. The WASPI women complained </w:t>
      </w:r>
      <w:r w:rsidR="00035419" w:rsidRPr="00713AB4">
        <w:rPr>
          <w:rFonts w:ascii="Calibri" w:eastAsia="Arial" w:hAnsi="Calibri" w:cs="Calibri"/>
          <w:color w:val="000000"/>
          <w:sz w:val="24"/>
          <w:szCs w:val="24"/>
          <w:lang w:val="en-GB"/>
        </w:rPr>
        <w:t xml:space="preserve">in around 2018 </w:t>
      </w:r>
      <w:r w:rsidRPr="00713AB4">
        <w:rPr>
          <w:rFonts w:ascii="Calibri" w:eastAsia="Arial" w:hAnsi="Calibri" w:cs="Calibri"/>
          <w:color w:val="000000"/>
          <w:sz w:val="24"/>
          <w:szCs w:val="24"/>
          <w:lang w:val="en-GB"/>
        </w:rPr>
        <w:t xml:space="preserve">to the Parliamentary and Health Service Ombudsman about maladministration relating to the DWP’s approach to the changes in women’s state pension age. The </w:t>
      </w:r>
      <w:r w:rsidR="00035419" w:rsidRPr="00713AB4">
        <w:rPr>
          <w:rFonts w:ascii="Calibri" w:eastAsia="Arial" w:hAnsi="Calibri" w:cs="Calibri"/>
          <w:color w:val="000000"/>
          <w:sz w:val="24"/>
          <w:szCs w:val="24"/>
          <w:lang w:val="en-GB"/>
        </w:rPr>
        <w:t>PHSO examined</w:t>
      </w:r>
      <w:r w:rsidRPr="00713AB4">
        <w:rPr>
          <w:rFonts w:ascii="Calibri" w:eastAsia="Arial" w:hAnsi="Calibri" w:cs="Calibri"/>
          <w:color w:val="000000"/>
          <w:sz w:val="24"/>
          <w:szCs w:val="24"/>
          <w:lang w:val="en-GB"/>
        </w:rPr>
        <w:t xml:space="preserve"> th</w:t>
      </w:r>
      <w:r w:rsidR="00035419" w:rsidRPr="00713AB4">
        <w:rPr>
          <w:rFonts w:ascii="Calibri" w:eastAsia="Arial" w:hAnsi="Calibri" w:cs="Calibri"/>
          <w:color w:val="000000"/>
          <w:sz w:val="24"/>
          <w:szCs w:val="24"/>
          <w:lang w:val="en-GB"/>
        </w:rPr>
        <w:t>ese issues</w:t>
      </w:r>
      <w:r w:rsidRPr="00713AB4">
        <w:rPr>
          <w:rFonts w:ascii="Calibri" w:eastAsia="Arial" w:hAnsi="Calibri" w:cs="Calibri"/>
          <w:color w:val="000000"/>
          <w:sz w:val="24"/>
          <w:szCs w:val="24"/>
          <w:lang w:val="en-GB"/>
        </w:rPr>
        <w:t xml:space="preserve"> for </w:t>
      </w:r>
      <w:proofErr w:type="gramStart"/>
      <w:r w:rsidRPr="00713AB4">
        <w:rPr>
          <w:rFonts w:ascii="Calibri" w:eastAsia="Arial" w:hAnsi="Calibri" w:cs="Calibri"/>
          <w:color w:val="000000"/>
          <w:sz w:val="24"/>
          <w:szCs w:val="24"/>
          <w:lang w:val="en-GB"/>
        </w:rPr>
        <w:t>a number of</w:t>
      </w:r>
      <w:proofErr w:type="gramEnd"/>
      <w:r w:rsidRPr="00713AB4">
        <w:rPr>
          <w:rFonts w:ascii="Calibri" w:eastAsia="Arial" w:hAnsi="Calibri" w:cs="Calibri"/>
          <w:color w:val="000000"/>
          <w:sz w:val="24"/>
          <w:szCs w:val="24"/>
          <w:lang w:val="en-GB"/>
        </w:rPr>
        <w:t xml:space="preserve"> years</w:t>
      </w:r>
      <w:r w:rsidR="00035419" w:rsidRPr="00713AB4">
        <w:rPr>
          <w:rFonts w:ascii="Calibri" w:eastAsia="Arial" w:hAnsi="Calibri" w:cs="Calibri"/>
          <w:color w:val="000000"/>
          <w:sz w:val="24"/>
          <w:szCs w:val="24"/>
          <w:lang w:val="en-GB"/>
        </w:rPr>
        <w:t xml:space="preserve">. In 2021, the Ombudsman found maladministration. In 2024, it published its final report. It </w:t>
      </w:r>
      <w:r w:rsidRPr="00713AB4">
        <w:rPr>
          <w:rFonts w:ascii="Calibri" w:eastAsia="Arial" w:hAnsi="Calibri" w:cs="Calibri"/>
          <w:color w:val="000000"/>
          <w:sz w:val="24"/>
          <w:szCs w:val="24"/>
          <w:lang w:val="en-GB"/>
        </w:rPr>
        <w:t xml:space="preserve">recommended compensation of between £1,000 and £2,950 – but the Government has </w:t>
      </w:r>
      <w:r w:rsidR="00035419" w:rsidRPr="00713AB4">
        <w:rPr>
          <w:rFonts w:ascii="Calibri" w:eastAsia="Arial" w:hAnsi="Calibri" w:cs="Calibri"/>
          <w:color w:val="000000"/>
          <w:sz w:val="24"/>
          <w:szCs w:val="24"/>
          <w:lang w:val="en-GB"/>
        </w:rPr>
        <w:t>since</w:t>
      </w:r>
      <w:r w:rsidR="00CF6109" w:rsidRPr="00713AB4">
        <w:rPr>
          <w:rFonts w:ascii="Calibri" w:eastAsia="Arial" w:hAnsi="Calibri" w:cs="Calibri"/>
          <w:color w:val="000000"/>
          <w:sz w:val="24"/>
          <w:szCs w:val="24"/>
          <w:lang w:val="en-GB"/>
        </w:rPr>
        <w:t xml:space="preserve"> (so far)</w:t>
      </w:r>
      <w:r w:rsidR="00035419" w:rsidRPr="00713AB4">
        <w:rPr>
          <w:rFonts w:ascii="Calibri" w:eastAsia="Arial" w:hAnsi="Calibri" w:cs="Calibri"/>
          <w:color w:val="000000"/>
          <w:sz w:val="24"/>
          <w:szCs w:val="24"/>
          <w:lang w:val="en-GB"/>
        </w:rPr>
        <w:t xml:space="preserve"> </w:t>
      </w:r>
      <w:r w:rsidRPr="00713AB4">
        <w:rPr>
          <w:rFonts w:ascii="Calibri" w:eastAsia="Arial" w:hAnsi="Calibri" w:cs="Calibri"/>
          <w:color w:val="000000"/>
          <w:sz w:val="24"/>
          <w:szCs w:val="24"/>
          <w:lang w:val="en-GB"/>
        </w:rPr>
        <w:t>refused to comply with that recommendation.</w:t>
      </w:r>
    </w:p>
    <w:p w14:paraId="27FA2017" w14:textId="5FED1EB3" w:rsidR="00152920" w:rsidRPr="00713AB4" w:rsidRDefault="00152920" w:rsidP="00740ABB">
      <w:pPr>
        <w:tabs>
          <w:tab w:val="left" w:pos="360"/>
          <w:tab w:val="left" w:pos="1512"/>
        </w:tabs>
        <w:spacing w:after="240" w:line="360" w:lineRule="auto"/>
        <w:ind w:left="357" w:right="85" w:firstLine="363"/>
        <w:jc w:val="both"/>
        <w:textAlignment w:val="baseline"/>
        <w:rPr>
          <w:rFonts w:ascii="Calibri" w:eastAsia="Arial" w:hAnsi="Calibri" w:cs="Calibri"/>
          <w:i/>
          <w:iCs/>
          <w:color w:val="000000"/>
          <w:spacing w:val="-2"/>
          <w:sz w:val="24"/>
          <w:szCs w:val="24"/>
          <w:lang w:val="en-GB"/>
        </w:rPr>
      </w:pPr>
      <w:r w:rsidRPr="00713AB4">
        <w:rPr>
          <w:rFonts w:ascii="Calibri" w:eastAsia="Arial" w:hAnsi="Calibri" w:cs="Calibri"/>
          <w:i/>
          <w:iCs/>
          <w:color w:val="000000"/>
          <w:spacing w:val="-2"/>
          <w:sz w:val="24"/>
          <w:szCs w:val="24"/>
          <w:lang w:val="en-GB"/>
        </w:rPr>
        <w:t xml:space="preserve">Appeal and review procedures </w:t>
      </w:r>
    </w:p>
    <w:p w14:paraId="41ADDE42" w14:textId="1C69DE72"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pacing w:val="-1"/>
          <w:sz w:val="24"/>
          <w:szCs w:val="24"/>
          <w:lang w:val="en-GB"/>
        </w:rPr>
        <w:t xml:space="preserve">Appeal and review procedures also provide an effective public law remedy in many cases. For example, a decision by the Department of Work and Pensions (DWP) not to award </w:t>
      </w:r>
      <w:r w:rsidR="004410A2" w:rsidRPr="00713AB4">
        <w:rPr>
          <w:rFonts w:ascii="Calibri" w:eastAsia="Arial" w:hAnsi="Calibri" w:cs="Calibri"/>
          <w:color w:val="000000"/>
          <w:spacing w:val="-1"/>
          <w:sz w:val="24"/>
          <w:szCs w:val="24"/>
          <w:lang w:val="en-GB"/>
        </w:rPr>
        <w:t xml:space="preserve">a </w:t>
      </w:r>
      <w:r w:rsidRPr="00713AB4">
        <w:rPr>
          <w:rFonts w:ascii="Calibri" w:eastAsia="Arial" w:hAnsi="Calibri" w:cs="Calibri"/>
          <w:color w:val="000000"/>
          <w:spacing w:val="-1"/>
          <w:sz w:val="24"/>
          <w:szCs w:val="24"/>
          <w:lang w:val="en-GB"/>
        </w:rPr>
        <w:t xml:space="preserve">benefit often comes with a right of appeal to an independent tribunal. Before the right can be exercised, applicants are frequently required to apply to the DWP to request that the decision is </w:t>
      </w:r>
      <w:r w:rsidR="00813EDA" w:rsidRPr="00713AB4">
        <w:rPr>
          <w:rFonts w:ascii="Calibri" w:eastAsia="Arial" w:hAnsi="Calibri" w:cs="Calibri"/>
          <w:color w:val="000000"/>
          <w:spacing w:val="-1"/>
          <w:sz w:val="24"/>
          <w:szCs w:val="24"/>
          <w:lang w:val="en-GB"/>
        </w:rPr>
        <w:t xml:space="preserve">internally </w:t>
      </w:r>
      <w:r w:rsidRPr="00713AB4">
        <w:rPr>
          <w:rFonts w:ascii="Calibri" w:eastAsia="Arial" w:hAnsi="Calibri" w:cs="Calibri"/>
          <w:color w:val="000000"/>
          <w:spacing w:val="-1"/>
          <w:sz w:val="24"/>
          <w:szCs w:val="24"/>
          <w:lang w:val="en-GB"/>
        </w:rPr>
        <w:t xml:space="preserve">reviewed </w:t>
      </w:r>
      <w:r w:rsidR="00D323E8" w:rsidRPr="00713AB4">
        <w:rPr>
          <w:rFonts w:ascii="Calibri" w:eastAsia="Arial" w:hAnsi="Calibri" w:cs="Calibri"/>
          <w:color w:val="000000"/>
          <w:spacing w:val="-1"/>
          <w:sz w:val="24"/>
          <w:szCs w:val="24"/>
          <w:lang w:val="en-GB"/>
        </w:rPr>
        <w:t>(</w:t>
      </w:r>
      <w:r w:rsidR="00813EDA" w:rsidRPr="00713AB4">
        <w:rPr>
          <w:rFonts w:ascii="Calibri" w:eastAsia="Arial" w:hAnsi="Calibri" w:cs="Calibri"/>
          <w:color w:val="000000"/>
          <w:spacing w:val="-1"/>
          <w:sz w:val="24"/>
          <w:szCs w:val="24"/>
          <w:lang w:val="en-GB"/>
        </w:rPr>
        <w:t>the DWP call</w:t>
      </w:r>
      <w:r w:rsidR="004410A2" w:rsidRPr="00713AB4">
        <w:rPr>
          <w:rFonts w:ascii="Calibri" w:eastAsia="Arial" w:hAnsi="Calibri" w:cs="Calibri"/>
          <w:color w:val="000000"/>
          <w:spacing w:val="-1"/>
          <w:sz w:val="24"/>
          <w:szCs w:val="24"/>
          <w:lang w:val="en-GB"/>
        </w:rPr>
        <w:t>s</w:t>
      </w:r>
      <w:r w:rsidR="00813EDA" w:rsidRPr="00713AB4">
        <w:rPr>
          <w:rFonts w:ascii="Calibri" w:eastAsia="Arial" w:hAnsi="Calibri" w:cs="Calibri"/>
          <w:color w:val="000000"/>
          <w:spacing w:val="-1"/>
          <w:sz w:val="24"/>
          <w:szCs w:val="24"/>
          <w:lang w:val="en-GB"/>
        </w:rPr>
        <w:t xml:space="preserve"> this </w:t>
      </w:r>
      <w:r w:rsidR="00D323E8" w:rsidRPr="00713AB4">
        <w:rPr>
          <w:rFonts w:ascii="Calibri" w:eastAsia="Arial" w:hAnsi="Calibri" w:cs="Calibri"/>
          <w:color w:val="000000"/>
          <w:spacing w:val="-1"/>
          <w:sz w:val="24"/>
          <w:szCs w:val="24"/>
          <w:lang w:val="en-GB"/>
        </w:rPr>
        <w:t xml:space="preserve">mandatory reconsideration) </w:t>
      </w:r>
      <w:r w:rsidRPr="00713AB4">
        <w:rPr>
          <w:rFonts w:ascii="Calibri" w:eastAsia="Arial" w:hAnsi="Calibri" w:cs="Calibri"/>
          <w:color w:val="000000"/>
          <w:spacing w:val="-1"/>
          <w:sz w:val="24"/>
          <w:szCs w:val="24"/>
          <w:lang w:val="en-GB"/>
        </w:rPr>
        <w:t>before it can be appealed to an independent tribunal.</w:t>
      </w:r>
    </w:p>
    <w:p w14:paraId="4FC3D746" w14:textId="04F12C8A" w:rsidR="00423D59"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pacing w:val="-1"/>
          <w:sz w:val="24"/>
          <w:szCs w:val="24"/>
          <w:lang w:val="en-GB"/>
        </w:rPr>
        <w:t>Appeals to tribunals cover a wide range of decisions by the state that affect the individual, for example decisions relating to entitlement benefits, immigration, mental health and education. Some tribunals are administered through local authorities (for example</w:t>
      </w:r>
      <w:r w:rsidR="00F01071" w:rsidRPr="00713AB4">
        <w:rPr>
          <w:rFonts w:ascii="Calibri" w:eastAsia="Arial" w:hAnsi="Calibri" w:cs="Calibri"/>
          <w:color w:val="000000"/>
          <w:spacing w:val="-1"/>
          <w:sz w:val="24"/>
          <w:szCs w:val="24"/>
          <w:lang w:val="en-GB"/>
        </w:rPr>
        <w:t xml:space="preserve"> independent review panels</w:t>
      </w:r>
      <w:r w:rsidR="001A081B" w:rsidRPr="00713AB4">
        <w:rPr>
          <w:rFonts w:ascii="Calibri" w:eastAsia="Arial" w:hAnsi="Calibri" w:cs="Calibri"/>
          <w:color w:val="000000"/>
          <w:spacing w:val="-1"/>
          <w:sz w:val="24"/>
          <w:szCs w:val="24"/>
          <w:lang w:val="en-GB"/>
        </w:rPr>
        <w:t xml:space="preserve"> tasked with reviewing exclusions from maintained schools</w:t>
      </w:r>
      <w:r w:rsidRPr="00713AB4">
        <w:rPr>
          <w:rFonts w:ascii="Calibri" w:eastAsia="Arial" w:hAnsi="Calibri" w:cs="Calibri"/>
          <w:color w:val="000000"/>
          <w:spacing w:val="-1"/>
          <w:sz w:val="24"/>
          <w:szCs w:val="24"/>
          <w:lang w:val="en-GB"/>
        </w:rPr>
        <w:t>), some by government departments (for example the Valuation Tribunals) and others through Her Majesty’s Courts and Tribunals Service (HMCTS), an agency of the Ministry of Justice.</w:t>
      </w:r>
    </w:p>
    <w:p w14:paraId="0D60E26D" w14:textId="3BB769E1" w:rsidR="00423D59"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z w:val="24"/>
          <w:szCs w:val="24"/>
          <w:lang w:val="en-GB"/>
        </w:rPr>
        <w:t xml:space="preserve">In relation to the tribunals administered by HMCTS, the Tribunals, Courts and </w:t>
      </w:r>
      <w:r w:rsidRPr="00390BE7">
        <w:rPr>
          <w:rFonts w:ascii="Calibri" w:eastAsia="Times New Roman" w:hAnsi="Calibri" w:cs="Calibri"/>
          <w:sz w:val="24"/>
          <w:szCs w:val="20"/>
          <w:lang w:val="en-GB"/>
        </w:rPr>
        <w:t>Enforcement</w:t>
      </w:r>
      <w:r w:rsidRPr="00713AB4">
        <w:rPr>
          <w:rFonts w:ascii="Calibri" w:eastAsia="Arial" w:hAnsi="Calibri" w:cs="Calibri"/>
          <w:color w:val="000000"/>
          <w:sz w:val="24"/>
          <w:szCs w:val="24"/>
          <w:lang w:val="en-GB"/>
        </w:rPr>
        <w:t xml:space="preserve"> Act 2007 unified what had hitherto been a diverse system of independent tribunals which had been established piecemeal to provide for individuals to appeal against a range of state decisions. The Act established two </w:t>
      </w:r>
      <w:r w:rsidRPr="00713AB4">
        <w:rPr>
          <w:rFonts w:ascii="Calibri" w:eastAsia="Arial" w:hAnsi="Calibri" w:cs="Calibri"/>
          <w:color w:val="000000"/>
          <w:sz w:val="24"/>
          <w:szCs w:val="24"/>
          <w:lang w:val="en-GB"/>
        </w:rPr>
        <w:lastRenderedPageBreak/>
        <w:t>tribunals, the First-tier Tribunal and the Upper Tribunal, which is divided into 4 chambers (the Administrative Appeals Chamber, the Tax and Chancery Chamber, the Immigration and Asylum Chamber, and the Lands Chamber), all presided over by a senior President of Tribunals. A diagram of the HMCTS tribunal structure is available online here:</w:t>
      </w:r>
    </w:p>
    <w:p w14:paraId="5017207F" w14:textId="78119200" w:rsidR="00423D59" w:rsidRPr="00713AB4" w:rsidRDefault="00CD2267" w:rsidP="00022E42">
      <w:pPr>
        <w:pStyle w:val="ListParagraph"/>
        <w:tabs>
          <w:tab w:val="left" w:pos="360"/>
          <w:tab w:val="left" w:pos="1512"/>
        </w:tabs>
        <w:spacing w:after="240" w:line="360" w:lineRule="auto"/>
        <w:ind w:right="85"/>
        <w:contextualSpacing w:val="0"/>
        <w:jc w:val="both"/>
        <w:textAlignment w:val="baseline"/>
        <w:rPr>
          <w:rFonts w:ascii="Calibri" w:eastAsia="Arial" w:hAnsi="Calibri" w:cs="Calibri"/>
          <w:color w:val="0562C1"/>
          <w:sz w:val="24"/>
          <w:szCs w:val="24"/>
          <w:lang w:val="en-GB"/>
        </w:rPr>
      </w:pPr>
      <w:hyperlink r:id="rId11" w:history="1">
        <w:r w:rsidRPr="00713AB4">
          <w:rPr>
            <w:rStyle w:val="Hyperlink"/>
            <w:rFonts w:ascii="Calibri" w:hAnsi="Calibri" w:cs="Calibri"/>
            <w:lang w:val="en-GB"/>
          </w:rPr>
          <w:t>Structure of Courts and Tribunals System - Courts and Tribunals Judiciary</w:t>
        </w:r>
      </w:hyperlink>
      <w:r w:rsidRPr="00713AB4" w:rsidDel="00CF5F71">
        <w:rPr>
          <w:rFonts w:ascii="Calibri" w:hAnsi="Calibri" w:cs="Calibri"/>
          <w:lang w:val="en-GB"/>
        </w:rPr>
        <w:t xml:space="preserve"> </w:t>
      </w:r>
    </w:p>
    <w:p w14:paraId="5C45CB47" w14:textId="4CA99A74" w:rsidR="00423D59"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z w:val="24"/>
          <w:szCs w:val="24"/>
          <w:lang w:val="en-GB"/>
        </w:rPr>
        <w:t>In general, the First-tier Tribunal provides for appeals on law and fact with a right of appeal – subject to a requirement to obtain permission – on a point of law to the Upper Tribunal, with an onward right of appeal – subject to further requirement to obtain permission – on a point of law to the Court of Appeal.</w:t>
      </w:r>
    </w:p>
    <w:p w14:paraId="14595F41" w14:textId="7021AF27" w:rsidR="00423D59"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themeColor="text1"/>
          <w:sz w:val="24"/>
          <w:szCs w:val="24"/>
          <w:lang w:val="en-GB"/>
        </w:rPr>
        <w:t xml:space="preserve">The Tribunals, Courts and Enforcement Act 2007 also </w:t>
      </w:r>
      <w:proofErr w:type="gramStart"/>
      <w:r w:rsidRPr="00713AB4">
        <w:rPr>
          <w:rFonts w:ascii="Calibri" w:eastAsia="Arial" w:hAnsi="Calibri" w:cs="Calibri"/>
          <w:color w:val="000000" w:themeColor="text1"/>
          <w:sz w:val="24"/>
          <w:szCs w:val="24"/>
          <w:lang w:val="en-GB"/>
        </w:rPr>
        <w:t>provides</w:t>
      </w:r>
      <w:proofErr w:type="gramEnd"/>
      <w:r w:rsidRPr="00713AB4">
        <w:rPr>
          <w:rFonts w:ascii="Calibri" w:eastAsia="Arial" w:hAnsi="Calibri" w:cs="Calibri"/>
          <w:color w:val="000000" w:themeColor="text1"/>
          <w:sz w:val="24"/>
          <w:szCs w:val="24"/>
          <w:lang w:val="en-GB"/>
        </w:rPr>
        <w:t xml:space="preserve"> for classes of judicial review case, and for certain individual judicial review cases to be transferred for hearing by the Upper Tribunal instead of the Administrative Court, where most judicial review cases are heard.</w:t>
      </w:r>
    </w:p>
    <w:p w14:paraId="563B9E3B" w14:textId="6019525E" w:rsidR="00740ABB" w:rsidRPr="00713AB4" w:rsidRDefault="00152920" w:rsidP="00740ABB">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z w:val="24"/>
          <w:szCs w:val="24"/>
          <w:lang w:val="en-GB"/>
        </w:rPr>
        <w:t xml:space="preserve">Practitioners of judicial review need to understand the tribunal system and what satisfaction it can offer, </w:t>
      </w:r>
      <w:proofErr w:type="gramStart"/>
      <w:r w:rsidRPr="00713AB4">
        <w:rPr>
          <w:rFonts w:ascii="Calibri" w:eastAsia="Arial" w:hAnsi="Calibri" w:cs="Calibri"/>
          <w:color w:val="000000"/>
          <w:sz w:val="24"/>
          <w:szCs w:val="24"/>
          <w:lang w:val="en-GB"/>
        </w:rPr>
        <w:t>in order to</w:t>
      </w:r>
      <w:proofErr w:type="gramEnd"/>
      <w:r w:rsidRPr="00713AB4">
        <w:rPr>
          <w:rFonts w:ascii="Calibri" w:eastAsia="Arial" w:hAnsi="Calibri" w:cs="Calibri"/>
          <w:color w:val="000000"/>
          <w:sz w:val="24"/>
          <w:szCs w:val="24"/>
          <w:lang w:val="en-GB"/>
        </w:rPr>
        <w:t xml:space="preserve"> advise a client whether a case should be brought as an appeal or as a judicial review claim. If a claim is brought by judicial review where an appeal right is available, the judicial review </w:t>
      </w:r>
      <w:r w:rsidRPr="00390BE7">
        <w:rPr>
          <w:rFonts w:ascii="Calibri" w:eastAsia="Times New Roman" w:hAnsi="Calibri" w:cs="Calibri"/>
          <w:sz w:val="24"/>
          <w:szCs w:val="20"/>
          <w:lang w:val="en-GB"/>
        </w:rPr>
        <w:t>claimant</w:t>
      </w:r>
      <w:r w:rsidRPr="00713AB4">
        <w:rPr>
          <w:rFonts w:ascii="Calibri" w:eastAsia="Arial" w:hAnsi="Calibri" w:cs="Calibri"/>
          <w:color w:val="000000"/>
          <w:sz w:val="24"/>
          <w:szCs w:val="24"/>
          <w:lang w:val="en-GB"/>
        </w:rPr>
        <w:t xml:space="preserve"> will be expected to show why an appeal was not the appropriate remedy. </w:t>
      </w:r>
      <w:r w:rsidR="00BF1344" w:rsidRPr="00713AB4">
        <w:rPr>
          <w:rFonts w:ascii="Calibri" w:eastAsia="Arial" w:hAnsi="Calibri" w:cs="Calibri"/>
          <w:color w:val="000000"/>
          <w:sz w:val="24"/>
          <w:szCs w:val="24"/>
          <w:lang w:val="en-GB"/>
        </w:rPr>
        <w:t xml:space="preserve">It may even be characterized as an abuse of process to adopt this course where a statutory appeal is available: </w:t>
      </w:r>
      <w:r w:rsidR="00BF1344" w:rsidRPr="00713AB4">
        <w:rPr>
          <w:rFonts w:ascii="Calibri" w:eastAsia="Arial" w:hAnsi="Calibri" w:cs="Calibri"/>
          <w:i/>
          <w:iCs/>
          <w:color w:val="000000"/>
          <w:sz w:val="24"/>
          <w:szCs w:val="24"/>
          <w:lang w:val="en-GB"/>
        </w:rPr>
        <w:t>The Father v Worcestershire County Council</w:t>
      </w:r>
      <w:r w:rsidR="00BF1344" w:rsidRPr="00713AB4">
        <w:rPr>
          <w:rFonts w:ascii="Calibri" w:eastAsia="Arial" w:hAnsi="Calibri" w:cs="Calibri"/>
          <w:color w:val="000000"/>
          <w:sz w:val="24"/>
          <w:szCs w:val="24"/>
          <w:lang w:val="en-GB"/>
        </w:rPr>
        <w:t xml:space="preserve"> [2025] UKSC 1</w:t>
      </w:r>
      <w:r w:rsidR="00693780" w:rsidRPr="00713AB4">
        <w:rPr>
          <w:rFonts w:ascii="Calibri" w:eastAsia="Arial" w:hAnsi="Calibri" w:cs="Calibri"/>
          <w:color w:val="000000"/>
          <w:sz w:val="24"/>
          <w:szCs w:val="24"/>
          <w:lang w:val="en-GB"/>
        </w:rPr>
        <w:t xml:space="preserve">, [2025] 2 WLR 155 </w:t>
      </w:r>
      <w:r w:rsidR="00BF1344" w:rsidRPr="00713AB4">
        <w:rPr>
          <w:rFonts w:ascii="Calibri" w:eastAsia="Arial" w:hAnsi="Calibri" w:cs="Calibri"/>
          <w:color w:val="000000"/>
          <w:sz w:val="24"/>
          <w:szCs w:val="24"/>
          <w:lang w:val="en-GB"/>
        </w:rPr>
        <w:t>at [91].</w:t>
      </w:r>
    </w:p>
    <w:p w14:paraId="6AB4F181" w14:textId="4E42080C" w:rsidR="00423D59" w:rsidRPr="00713AB4" w:rsidRDefault="00152920" w:rsidP="00740ABB">
      <w:pPr>
        <w:spacing w:after="240" w:line="360" w:lineRule="auto"/>
        <w:ind w:left="720"/>
        <w:jc w:val="both"/>
        <w:rPr>
          <w:rFonts w:ascii="Calibri" w:eastAsia="Arial" w:hAnsi="Calibri" w:cs="Calibri"/>
          <w:color w:val="000000"/>
          <w:spacing w:val="-1"/>
          <w:sz w:val="24"/>
          <w:szCs w:val="24"/>
          <w:lang w:val="en-GB"/>
        </w:rPr>
      </w:pPr>
      <w:r w:rsidRPr="00713AB4">
        <w:rPr>
          <w:rFonts w:ascii="Calibri" w:eastAsia="Arial" w:hAnsi="Calibri" w:cs="Calibri"/>
          <w:b/>
          <w:bCs/>
          <w:color w:val="000000"/>
          <w:sz w:val="24"/>
          <w:szCs w:val="24"/>
          <w:lang w:val="en-GB"/>
        </w:rPr>
        <w:t>Judicial review is a (relatively) successful public law remedy.</w:t>
      </w:r>
    </w:p>
    <w:p w14:paraId="33D48CDD" w14:textId="1B737AB3" w:rsidR="00BC7559"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z w:val="24"/>
          <w:szCs w:val="24"/>
          <w:lang w:val="en-GB"/>
        </w:rPr>
        <w:t xml:space="preserve">Finally, public law can also be enforced by way of judicial review, the subject of this course. </w:t>
      </w:r>
      <w:r w:rsidR="00BC7559" w:rsidRPr="00713AB4">
        <w:rPr>
          <w:rFonts w:ascii="Calibri" w:eastAsia="Arial" w:hAnsi="Calibri" w:cs="Calibri"/>
          <w:color w:val="000000"/>
          <w:sz w:val="24"/>
          <w:szCs w:val="24"/>
          <w:lang w:val="en-GB"/>
        </w:rPr>
        <w:t xml:space="preserve">Of the 3,700 applications for judicial review received in 2025, 1,300 were civil immigration and asylum applications, 2,200 were civil (other), and 130 were criminal, up 26%, 25% and down 6% respectively from 2024. Of the civil immigration and asylum cases, 10 have since </w:t>
      </w:r>
      <w:r w:rsidR="0034384E" w:rsidRPr="00713AB4">
        <w:rPr>
          <w:rFonts w:ascii="Calibri" w:eastAsia="Arial" w:hAnsi="Calibri" w:cs="Calibri"/>
          <w:color w:val="000000"/>
          <w:sz w:val="24"/>
          <w:szCs w:val="24"/>
          <w:lang w:val="en-GB"/>
        </w:rPr>
        <w:t>been</w:t>
      </w:r>
      <w:r w:rsidR="00BC7559" w:rsidRPr="00713AB4">
        <w:rPr>
          <w:rFonts w:ascii="Calibri" w:eastAsia="Arial" w:hAnsi="Calibri" w:cs="Calibri"/>
          <w:color w:val="000000"/>
          <w:sz w:val="24"/>
          <w:szCs w:val="24"/>
          <w:lang w:val="en-GB"/>
        </w:rPr>
        <w:t xml:space="preserve"> transferred to the Upper Tribunal (Immigration and Asylum Chamber). </w:t>
      </w:r>
    </w:p>
    <w:p w14:paraId="7AB457CF" w14:textId="503F9F71" w:rsidR="00152920" w:rsidRPr="00713AB4" w:rsidRDefault="00BC7559" w:rsidP="00B95F1D">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z w:val="24"/>
          <w:szCs w:val="24"/>
          <w:lang w:val="en-GB"/>
        </w:rPr>
        <w:lastRenderedPageBreak/>
        <w:t>Of the applications that were made from January to December 2025, 1,500 (42%) are now closed. Of the total applications, 1,400 reached the permission stage in 2025, and of these:</w:t>
      </w:r>
    </w:p>
    <w:p w14:paraId="33735FCF" w14:textId="682E1C83" w:rsidR="003E4441" w:rsidRPr="00713AB4" w:rsidRDefault="0034384E" w:rsidP="00713AB4">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13% (190) were found to be totally without merit (TWM).</w:t>
      </w:r>
    </w:p>
    <w:p w14:paraId="69EA6B08" w14:textId="6177CF18" w:rsidR="0034384E" w:rsidRPr="00713AB4" w:rsidRDefault="0034384E" w:rsidP="0034384E">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themeColor="text1"/>
          <w:sz w:val="24"/>
          <w:szCs w:val="24"/>
          <w:lang w:val="en-GB"/>
        </w:rPr>
        <w:t>320 cases were granted permission or granted permission in part to proceed at first stage and 920 were refused at the permission stage. However, 35 of the cases refused at permission stage went on to be granted permission at the renewal stage.</w:t>
      </w:r>
    </w:p>
    <w:p w14:paraId="44F1E5A6" w14:textId="3412883C" w:rsidR="0034384E" w:rsidRPr="00713AB4" w:rsidRDefault="0034384E" w:rsidP="0034384E">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themeColor="text1"/>
          <w:sz w:val="24"/>
          <w:szCs w:val="24"/>
          <w:lang w:val="en-GB"/>
        </w:rPr>
        <w:t>360 cases have been assessed to be eligible for a final hearing and, of these, 100 have since been heard.</w:t>
      </w:r>
    </w:p>
    <w:p w14:paraId="79E21216" w14:textId="0C5BFB37" w:rsidR="0034384E" w:rsidRPr="00713AB4" w:rsidRDefault="0034384E" w:rsidP="0034384E">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themeColor="text1"/>
          <w:sz w:val="24"/>
          <w:szCs w:val="24"/>
          <w:lang w:val="en-GB"/>
        </w:rPr>
        <w:t>Of the 100 cases that reached a final hearing, the court found in favour of the claimant in 23 and in favour of the defendant in 18.</w:t>
      </w:r>
    </w:p>
    <w:p w14:paraId="71E0DC5D" w14:textId="5A06E5B4" w:rsidR="0034384E" w:rsidRPr="00713AB4" w:rsidRDefault="0034384E" w:rsidP="0034384E">
      <w:pPr>
        <w:pStyle w:val="ListParagraph"/>
        <w:tabs>
          <w:tab w:val="left" w:pos="360"/>
          <w:tab w:val="left" w:pos="1512"/>
        </w:tabs>
        <w:spacing w:after="240" w:line="360" w:lineRule="auto"/>
        <w:ind w:left="1512" w:right="85"/>
        <w:contextualSpacing w:val="0"/>
        <w:jc w:val="both"/>
        <w:textAlignment w:val="baseline"/>
        <w:rPr>
          <w:rFonts w:ascii="Calibri" w:eastAsia="Arial" w:hAnsi="Calibri" w:cs="Calibri"/>
          <w:color w:val="000000" w:themeColor="text1"/>
          <w:sz w:val="24"/>
          <w:szCs w:val="24"/>
          <w:lang w:val="en-GB"/>
        </w:rPr>
      </w:pPr>
      <w:r w:rsidRPr="00713AB4">
        <w:rPr>
          <w:rFonts w:ascii="Calibri" w:eastAsia="Arial" w:hAnsi="Calibri" w:cs="Calibri"/>
          <w:color w:val="000000" w:themeColor="text1"/>
          <w:sz w:val="24"/>
          <w:szCs w:val="24"/>
          <w:lang w:val="en-GB"/>
        </w:rPr>
        <w:t xml:space="preserve">(MoJ Civil Justice Statistics, 5 March 2026: </w:t>
      </w:r>
      <w:hyperlink r:id="rId12" w:history="1">
        <w:r w:rsidRPr="00713AB4">
          <w:rPr>
            <w:rStyle w:val="Hyperlink"/>
            <w:rFonts w:ascii="Calibri" w:eastAsia="Arial" w:hAnsi="Calibri" w:cs="Calibri"/>
            <w:sz w:val="24"/>
            <w:szCs w:val="24"/>
            <w:lang w:val="en-GB"/>
          </w:rPr>
          <w:t>https://www.gov.uk/government/statistics/civil-justice-statistics-quarterly-october-to-december-2025/civil-justice-statistics-quarterly-october-to-december-2025#judicial-reviews5</w:t>
        </w:r>
      </w:hyperlink>
      <w:r w:rsidRPr="00713AB4">
        <w:rPr>
          <w:rFonts w:ascii="Calibri" w:eastAsia="Arial" w:hAnsi="Calibri" w:cs="Calibri"/>
          <w:color w:val="000000" w:themeColor="text1"/>
          <w:sz w:val="24"/>
          <w:szCs w:val="24"/>
          <w:lang w:val="en-GB"/>
        </w:rPr>
        <w:t xml:space="preserve">) </w:t>
      </w:r>
    </w:p>
    <w:p w14:paraId="450BCCB0" w14:textId="7DFAB668" w:rsidR="0034384E" w:rsidRPr="00713AB4" w:rsidRDefault="0034384E" w:rsidP="00713AB4">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To provide some context for the 3,700 applications in 2025, the equivalent figure for 1974 was 160; for 2000, 4,250; and for 2011, over 11,000.</w:t>
      </w:r>
    </w:p>
    <w:p w14:paraId="61E3CD50" w14:textId="05FAAA60" w:rsidR="00152920" w:rsidRPr="00713AB4" w:rsidRDefault="00152920" w:rsidP="00376A86">
      <w:pPr>
        <w:spacing w:after="240" w:line="360" w:lineRule="auto"/>
        <w:ind w:left="720"/>
        <w:jc w:val="both"/>
        <w:rPr>
          <w:rFonts w:ascii="Calibri" w:eastAsia="Arial" w:hAnsi="Calibri" w:cs="Calibri"/>
          <w:b/>
          <w:bCs/>
          <w:color w:val="000000"/>
          <w:sz w:val="24"/>
          <w:szCs w:val="24"/>
          <w:lang w:val="en-GB"/>
        </w:rPr>
      </w:pPr>
      <w:r w:rsidRPr="00713AB4">
        <w:rPr>
          <w:rFonts w:ascii="Calibri" w:eastAsia="Arial" w:hAnsi="Calibri" w:cs="Calibri"/>
          <w:b/>
          <w:bCs/>
          <w:color w:val="000000"/>
          <w:sz w:val="24"/>
          <w:szCs w:val="24"/>
          <w:lang w:val="en-GB"/>
        </w:rPr>
        <w:t>Judicial review procedure</w:t>
      </w:r>
    </w:p>
    <w:p w14:paraId="11463508" w14:textId="77777777" w:rsidR="00BD5D0E" w:rsidRPr="00713AB4" w:rsidRDefault="00531E50" w:rsidP="00BD5D0E">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pacing w:val="-2"/>
          <w:sz w:val="24"/>
          <w:szCs w:val="24"/>
          <w:lang w:val="en-GB"/>
        </w:rPr>
        <w:t>Judicial review cases are heard by the Administrative Court, except for those heard by the Upper Tribunal which has its own procedure rules</w:t>
      </w:r>
      <w:r w:rsidR="00B04D4B" w:rsidRPr="00713AB4">
        <w:rPr>
          <w:rFonts w:ascii="Calibri" w:eastAsia="Arial" w:hAnsi="Calibri" w:cs="Calibri"/>
          <w:color w:val="000000"/>
          <w:spacing w:val="-2"/>
          <w:sz w:val="24"/>
          <w:szCs w:val="24"/>
          <w:lang w:val="en-GB"/>
        </w:rPr>
        <w:t>.</w:t>
      </w:r>
    </w:p>
    <w:p w14:paraId="201557FE" w14:textId="16A8BCB1" w:rsidR="001B2B0B" w:rsidRPr="00713AB4" w:rsidRDefault="00152920" w:rsidP="00713AB4">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procedure governing judicial review cases </w:t>
      </w:r>
      <w:r w:rsidR="00334A5C" w:rsidRPr="00713AB4">
        <w:rPr>
          <w:rFonts w:ascii="Calibri" w:eastAsia="Arial" w:hAnsi="Calibri" w:cs="Calibri"/>
          <w:color w:val="000000"/>
          <w:sz w:val="24"/>
          <w:szCs w:val="24"/>
          <w:lang w:val="en-GB"/>
        </w:rPr>
        <w:t xml:space="preserve">in the Administrative Court </w:t>
      </w:r>
      <w:r w:rsidRPr="00713AB4">
        <w:rPr>
          <w:rFonts w:ascii="Calibri" w:eastAsia="Arial" w:hAnsi="Calibri" w:cs="Calibri"/>
          <w:color w:val="000000"/>
          <w:sz w:val="24"/>
          <w:szCs w:val="24"/>
          <w:lang w:val="en-GB"/>
        </w:rPr>
        <w:t xml:space="preserve">is set out in </w:t>
      </w:r>
      <w:r w:rsidR="00334A5C" w:rsidRPr="00713AB4">
        <w:rPr>
          <w:rFonts w:ascii="Calibri" w:eastAsia="Arial" w:hAnsi="Calibri" w:cs="Calibri"/>
          <w:color w:val="000000"/>
          <w:sz w:val="24"/>
          <w:szCs w:val="24"/>
          <w:lang w:val="en-GB"/>
        </w:rPr>
        <w:t>Part 54</w:t>
      </w:r>
      <w:r w:rsidRPr="00713AB4">
        <w:rPr>
          <w:rFonts w:ascii="Calibri" w:eastAsia="Arial" w:hAnsi="Calibri" w:cs="Calibri"/>
          <w:color w:val="000000"/>
          <w:sz w:val="24"/>
          <w:szCs w:val="24"/>
          <w:lang w:val="en-GB"/>
        </w:rPr>
        <w:t xml:space="preserve"> Civil </w:t>
      </w:r>
      <w:r w:rsidRPr="00390BE7">
        <w:rPr>
          <w:rFonts w:ascii="Calibri" w:eastAsia="Times New Roman" w:hAnsi="Calibri" w:cs="Calibri"/>
          <w:sz w:val="24"/>
          <w:szCs w:val="20"/>
          <w:lang w:val="en-GB"/>
        </w:rPr>
        <w:t>Procedure</w:t>
      </w:r>
      <w:r w:rsidRPr="00713AB4">
        <w:rPr>
          <w:rFonts w:ascii="Calibri" w:eastAsia="Arial" w:hAnsi="Calibri" w:cs="Calibri"/>
          <w:color w:val="000000"/>
          <w:sz w:val="24"/>
          <w:szCs w:val="24"/>
          <w:lang w:val="en-GB"/>
        </w:rPr>
        <w:t xml:space="preserve"> Rules</w:t>
      </w:r>
      <w:r w:rsidR="008B79F5" w:rsidRPr="00713AB4">
        <w:rPr>
          <w:rFonts w:ascii="Calibri" w:eastAsia="Arial" w:hAnsi="Calibri" w:cs="Calibri"/>
          <w:color w:val="000000"/>
          <w:sz w:val="24"/>
          <w:szCs w:val="24"/>
          <w:lang w:val="en-GB"/>
        </w:rPr>
        <w:t>.</w:t>
      </w:r>
      <w:r w:rsidR="008B79F5" w:rsidRPr="00713AB4">
        <w:rPr>
          <w:rStyle w:val="FootnoteReference"/>
          <w:rFonts w:ascii="Calibri" w:eastAsia="Arial" w:hAnsi="Calibri" w:cs="Calibri"/>
          <w:color w:val="000000"/>
          <w:sz w:val="24"/>
          <w:szCs w:val="24"/>
          <w:lang w:val="en-GB"/>
        </w:rPr>
        <w:footnoteReference w:id="4"/>
      </w:r>
      <w:r w:rsidR="00435BA8" w:rsidRPr="00713AB4">
        <w:rPr>
          <w:rFonts w:ascii="Calibri" w:eastAsia="Arial" w:hAnsi="Calibri" w:cs="Calibri"/>
          <w:color w:val="000000"/>
          <w:sz w:val="24"/>
          <w:szCs w:val="24"/>
          <w:lang w:val="en-GB"/>
        </w:rPr>
        <w:t xml:space="preserve"> </w:t>
      </w:r>
      <w:r w:rsidRPr="00713AB4">
        <w:rPr>
          <w:rFonts w:ascii="Calibri" w:eastAsia="Arial" w:hAnsi="Calibri" w:cs="Calibri"/>
          <w:color w:val="000000"/>
          <w:sz w:val="24"/>
          <w:szCs w:val="24"/>
          <w:lang w:val="en-GB"/>
        </w:rPr>
        <w:t xml:space="preserve">The Civil Procedure Rules are rules made by a committee called the Civil Procedure Rule Committee headed by the Master of the Rolls. The rules they make </w:t>
      </w:r>
      <w:r w:rsidRPr="00390BE7">
        <w:rPr>
          <w:rFonts w:ascii="Calibri" w:eastAsia="Times New Roman" w:hAnsi="Calibri" w:cs="Calibri"/>
          <w:sz w:val="24"/>
          <w:szCs w:val="20"/>
          <w:lang w:val="en-GB"/>
        </w:rPr>
        <w:t>govern</w:t>
      </w:r>
      <w:r w:rsidRPr="00713AB4">
        <w:rPr>
          <w:rFonts w:ascii="Calibri" w:eastAsia="Arial" w:hAnsi="Calibri" w:cs="Calibri"/>
          <w:color w:val="000000"/>
          <w:sz w:val="24"/>
          <w:szCs w:val="24"/>
          <w:lang w:val="en-GB"/>
        </w:rPr>
        <w:t xml:space="preserve"> the procedure to be followed in civil cases by the </w:t>
      </w:r>
      <w:r w:rsidRPr="00713AB4">
        <w:rPr>
          <w:rFonts w:ascii="Calibri" w:eastAsia="Arial" w:hAnsi="Calibri" w:cs="Calibri"/>
          <w:color w:val="000000"/>
          <w:sz w:val="24"/>
          <w:szCs w:val="24"/>
          <w:lang w:val="en-GB"/>
        </w:rPr>
        <w:lastRenderedPageBreak/>
        <w:t>County Court, the High Court and the Court of Appeal.</w:t>
      </w:r>
      <w:r w:rsidR="003429F7" w:rsidRPr="00713AB4">
        <w:rPr>
          <w:rFonts w:ascii="Calibri" w:eastAsia="Arial" w:hAnsi="Calibri" w:cs="Calibri"/>
          <w:color w:val="000000"/>
          <w:sz w:val="24"/>
          <w:szCs w:val="24"/>
          <w:lang w:val="en-GB"/>
        </w:rPr>
        <w:t xml:space="preserve"> The Supreme Court has its own set of rules, which can be found on the Supreme Court’s website. </w:t>
      </w:r>
    </w:p>
    <w:p w14:paraId="3304CF8D" w14:textId="4FAB8A08" w:rsidR="00FC584F" w:rsidRPr="00713AB4" w:rsidRDefault="00C84649" w:rsidP="00FC584F">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For cases in the Upper Tribunal the procedure is set out in Part 4 Tribunal Procedure (Upper Tribunal) Rules 2008</w:t>
      </w:r>
      <w:r w:rsidR="00417904" w:rsidRPr="00713AB4">
        <w:rPr>
          <w:rFonts w:ascii="Calibri" w:eastAsia="Arial" w:hAnsi="Calibri" w:cs="Calibri"/>
          <w:color w:val="000000"/>
          <w:sz w:val="24"/>
          <w:szCs w:val="24"/>
          <w:lang w:val="en-GB"/>
        </w:rPr>
        <w:t>/2698</w:t>
      </w:r>
      <w:r w:rsidR="00390BE7" w:rsidRPr="00713AB4">
        <w:rPr>
          <w:rFonts w:ascii="Calibri" w:eastAsia="Arial" w:hAnsi="Calibri" w:cs="Calibri"/>
          <w:color w:val="000000"/>
          <w:sz w:val="24"/>
          <w:szCs w:val="24"/>
          <w:lang w:val="en-GB"/>
        </w:rPr>
        <w:t>.</w:t>
      </w:r>
      <w:r w:rsidR="0022542D" w:rsidRPr="00713AB4">
        <w:rPr>
          <w:rStyle w:val="FootnoteReference"/>
          <w:rFonts w:ascii="Calibri" w:eastAsia="Arial" w:hAnsi="Calibri" w:cs="Calibri"/>
          <w:color w:val="000000"/>
          <w:sz w:val="24"/>
          <w:szCs w:val="24"/>
          <w:lang w:val="en-GB"/>
        </w:rPr>
        <w:footnoteReference w:id="5"/>
      </w:r>
      <w:r w:rsidRPr="00713AB4">
        <w:rPr>
          <w:rFonts w:ascii="Calibri" w:eastAsia="Arial" w:hAnsi="Calibri" w:cs="Calibri"/>
          <w:color w:val="000000"/>
          <w:sz w:val="24"/>
          <w:szCs w:val="24"/>
          <w:lang w:val="en-GB"/>
        </w:rPr>
        <w:t xml:space="preserve"> </w:t>
      </w:r>
      <w:r w:rsidR="007B0089" w:rsidRPr="00713AB4">
        <w:rPr>
          <w:rFonts w:ascii="Calibri" w:eastAsia="Arial" w:hAnsi="Calibri" w:cs="Calibri"/>
          <w:color w:val="000000"/>
          <w:sz w:val="24"/>
          <w:szCs w:val="24"/>
          <w:lang w:val="en-GB"/>
        </w:rPr>
        <w:t xml:space="preserve">Many immigration judicial reviews </w:t>
      </w:r>
      <w:r w:rsidR="00FB04F0" w:rsidRPr="00713AB4">
        <w:rPr>
          <w:rFonts w:ascii="Calibri" w:eastAsia="Arial" w:hAnsi="Calibri" w:cs="Calibri"/>
          <w:color w:val="000000"/>
          <w:sz w:val="24"/>
          <w:szCs w:val="24"/>
          <w:lang w:val="en-GB"/>
        </w:rPr>
        <w:t xml:space="preserve">are now dealt with </w:t>
      </w:r>
      <w:r w:rsidR="0022542D" w:rsidRPr="00713AB4">
        <w:rPr>
          <w:rFonts w:ascii="Calibri" w:eastAsia="Arial" w:hAnsi="Calibri" w:cs="Calibri"/>
          <w:color w:val="000000"/>
          <w:sz w:val="24"/>
          <w:szCs w:val="24"/>
          <w:lang w:val="en-GB"/>
        </w:rPr>
        <w:t xml:space="preserve">by </w:t>
      </w:r>
      <w:r w:rsidR="00FB04F0" w:rsidRPr="00713AB4">
        <w:rPr>
          <w:rFonts w:ascii="Calibri" w:eastAsia="Arial" w:hAnsi="Calibri" w:cs="Calibri"/>
          <w:color w:val="000000"/>
          <w:sz w:val="24"/>
          <w:szCs w:val="24"/>
          <w:lang w:val="en-GB"/>
        </w:rPr>
        <w:t xml:space="preserve">the </w:t>
      </w:r>
      <w:r w:rsidR="00A82D5F" w:rsidRPr="00713AB4">
        <w:rPr>
          <w:rFonts w:ascii="Calibri" w:eastAsia="Arial" w:hAnsi="Calibri" w:cs="Calibri"/>
          <w:color w:val="000000"/>
          <w:sz w:val="24"/>
          <w:szCs w:val="24"/>
          <w:lang w:val="en-GB"/>
        </w:rPr>
        <w:t>Upper Tribunal (Immigration and Asylum Chamber).</w:t>
      </w:r>
      <w:r w:rsidR="005A0B22" w:rsidRPr="00713AB4">
        <w:rPr>
          <w:rStyle w:val="FootnoteReference"/>
          <w:rFonts w:ascii="Calibri" w:eastAsia="Arial" w:hAnsi="Calibri" w:cs="Calibri"/>
          <w:color w:val="000000"/>
          <w:sz w:val="24"/>
          <w:szCs w:val="24"/>
          <w:lang w:val="en-GB"/>
        </w:rPr>
        <w:footnoteReference w:id="6"/>
      </w:r>
      <w:r w:rsidR="00A82D5F" w:rsidRPr="00713AB4">
        <w:rPr>
          <w:rFonts w:ascii="Calibri" w:eastAsia="Arial" w:hAnsi="Calibri" w:cs="Calibri"/>
          <w:color w:val="000000"/>
          <w:sz w:val="24"/>
          <w:szCs w:val="24"/>
          <w:lang w:val="en-GB"/>
        </w:rPr>
        <w:t xml:space="preserve"> </w:t>
      </w:r>
    </w:p>
    <w:p w14:paraId="48AEE4AD" w14:textId="0A1324F4" w:rsidR="008D2F8B" w:rsidRPr="00713AB4" w:rsidRDefault="001B2B0B" w:rsidP="003F6EB1">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hAnsi="Calibri" w:cs="Calibri"/>
          <w:sz w:val="24"/>
          <w:szCs w:val="24"/>
          <w:lang w:val="en-GB"/>
        </w:rPr>
        <w:t xml:space="preserve">In addition, </w:t>
      </w:r>
      <w:r w:rsidRPr="00713AB4">
        <w:rPr>
          <w:rFonts w:ascii="Calibri" w:eastAsia="Arial" w:hAnsi="Calibri" w:cs="Calibri"/>
          <w:color w:val="000000" w:themeColor="text1"/>
          <w:sz w:val="24"/>
          <w:szCs w:val="24"/>
          <w:lang w:val="en-GB"/>
        </w:rPr>
        <w:t xml:space="preserve">practitioners should be aware of and will regularly need to consult </w:t>
      </w:r>
      <w:r w:rsidR="006A48BF" w:rsidRPr="00713AB4">
        <w:rPr>
          <w:rFonts w:ascii="Calibri" w:eastAsia="Arial" w:hAnsi="Calibri" w:cs="Calibri"/>
          <w:color w:val="000000" w:themeColor="text1"/>
          <w:sz w:val="24"/>
          <w:szCs w:val="24"/>
          <w:lang w:val="en-GB"/>
        </w:rPr>
        <w:t xml:space="preserve">the </w:t>
      </w:r>
      <w:r w:rsidR="009B347B" w:rsidRPr="00713AB4">
        <w:rPr>
          <w:rFonts w:ascii="Calibri" w:eastAsia="Arial" w:hAnsi="Calibri" w:cs="Calibri"/>
          <w:color w:val="000000" w:themeColor="text1"/>
          <w:sz w:val="24"/>
          <w:szCs w:val="24"/>
          <w:lang w:val="en-GB"/>
        </w:rPr>
        <w:t xml:space="preserve">current version of the </w:t>
      </w:r>
      <w:r w:rsidR="006A48BF" w:rsidRPr="00713AB4">
        <w:rPr>
          <w:rFonts w:ascii="Calibri" w:eastAsia="Arial" w:hAnsi="Calibri" w:cs="Calibri"/>
          <w:color w:val="000000" w:themeColor="text1"/>
          <w:sz w:val="24"/>
          <w:szCs w:val="24"/>
          <w:lang w:val="en-GB"/>
        </w:rPr>
        <w:t>Administrative Court Guide</w:t>
      </w:r>
      <w:r w:rsidR="009B347B" w:rsidRPr="00713AB4">
        <w:rPr>
          <w:rStyle w:val="FootnoteReference"/>
          <w:rFonts w:ascii="Calibri" w:eastAsia="Arial" w:hAnsi="Calibri" w:cs="Calibri"/>
          <w:color w:val="000000" w:themeColor="text1"/>
          <w:sz w:val="24"/>
          <w:szCs w:val="24"/>
          <w:lang w:val="en-GB"/>
        </w:rPr>
        <w:footnoteReference w:id="7"/>
      </w:r>
      <w:r w:rsidRPr="00713AB4">
        <w:rPr>
          <w:rFonts w:ascii="Calibri" w:eastAsia="Arial" w:hAnsi="Calibri" w:cs="Calibri"/>
          <w:color w:val="000000" w:themeColor="text1"/>
          <w:sz w:val="24"/>
          <w:szCs w:val="24"/>
          <w:lang w:val="en-GB"/>
        </w:rPr>
        <w:t xml:space="preserve"> as it is a very clear instruction manual as to what the </w:t>
      </w:r>
      <w:r w:rsidR="009B347B" w:rsidRPr="00713AB4">
        <w:rPr>
          <w:rFonts w:ascii="Calibri" w:eastAsia="Arial" w:hAnsi="Calibri" w:cs="Calibri"/>
          <w:color w:val="000000" w:themeColor="text1"/>
          <w:sz w:val="24"/>
          <w:szCs w:val="24"/>
          <w:lang w:val="en-GB"/>
        </w:rPr>
        <w:t>c</w:t>
      </w:r>
      <w:r w:rsidRPr="00713AB4">
        <w:rPr>
          <w:rFonts w:ascii="Calibri" w:eastAsia="Arial" w:hAnsi="Calibri" w:cs="Calibri"/>
          <w:color w:val="000000" w:themeColor="text1"/>
          <w:sz w:val="24"/>
          <w:szCs w:val="24"/>
          <w:lang w:val="en-GB"/>
        </w:rPr>
        <w:t>ourt expects of litigants. In recent times, there has been an increasing emphasis on “</w:t>
      </w:r>
      <w:r w:rsidRPr="00713AB4">
        <w:rPr>
          <w:rFonts w:ascii="Calibri" w:eastAsia="Arial" w:hAnsi="Calibri" w:cs="Calibri"/>
          <w:i/>
          <w:iCs/>
          <w:color w:val="000000" w:themeColor="text1"/>
          <w:sz w:val="24"/>
          <w:szCs w:val="24"/>
          <w:lang w:val="en-GB"/>
        </w:rPr>
        <w:t>procedural rigour</w:t>
      </w:r>
      <w:r w:rsidRPr="00713AB4">
        <w:rPr>
          <w:rFonts w:ascii="Calibri" w:eastAsia="Arial" w:hAnsi="Calibri" w:cs="Calibri"/>
          <w:color w:val="000000" w:themeColor="text1"/>
          <w:sz w:val="24"/>
          <w:szCs w:val="24"/>
          <w:lang w:val="en-GB"/>
        </w:rPr>
        <w:t xml:space="preserve">” </w:t>
      </w:r>
      <w:r w:rsidR="0072331B" w:rsidRPr="00713AB4">
        <w:rPr>
          <w:rFonts w:ascii="Calibri" w:eastAsia="Arial" w:hAnsi="Calibri" w:cs="Calibri"/>
          <w:color w:val="000000" w:themeColor="text1"/>
          <w:sz w:val="24"/>
          <w:szCs w:val="24"/>
          <w:lang w:val="en-GB"/>
        </w:rPr>
        <w:t>and</w:t>
      </w:r>
      <w:r w:rsidRPr="00713AB4">
        <w:rPr>
          <w:rFonts w:ascii="Calibri" w:eastAsia="Arial" w:hAnsi="Calibri" w:cs="Calibri"/>
          <w:color w:val="000000" w:themeColor="text1"/>
          <w:sz w:val="24"/>
          <w:szCs w:val="24"/>
          <w:lang w:val="en-GB"/>
        </w:rPr>
        <w:t xml:space="preserve"> the need to comply with the rules.</w:t>
      </w:r>
    </w:p>
    <w:p w14:paraId="7A6DBEB7" w14:textId="4978ECB8" w:rsidR="00390BE7" w:rsidRPr="00713AB4" w:rsidRDefault="00390BE7" w:rsidP="003F6EB1">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hAnsi="Calibri" w:cs="Calibri"/>
          <w:sz w:val="24"/>
          <w:szCs w:val="24"/>
          <w:lang w:val="en-GB"/>
        </w:rPr>
        <w:t>There is also an increasing emphasis on what might be described as “</w:t>
      </w:r>
      <w:r w:rsidRPr="00713AB4">
        <w:rPr>
          <w:rFonts w:ascii="Calibri" w:hAnsi="Calibri" w:cs="Calibri"/>
          <w:i/>
          <w:iCs/>
          <w:sz w:val="24"/>
          <w:szCs w:val="24"/>
          <w:lang w:val="en-GB"/>
        </w:rPr>
        <w:t>substantive rigour</w:t>
      </w:r>
      <w:r w:rsidRPr="00713AB4">
        <w:rPr>
          <w:rFonts w:ascii="Calibri" w:hAnsi="Calibri" w:cs="Calibri"/>
          <w:sz w:val="24"/>
          <w:szCs w:val="24"/>
          <w:lang w:val="en-GB"/>
        </w:rPr>
        <w:t xml:space="preserve">”: that challenges must be firmly based on an established ground of judicial review. As Coulson LJ stated in </w:t>
      </w:r>
      <w:r w:rsidRPr="00713AB4">
        <w:rPr>
          <w:rFonts w:ascii="Calibri" w:hAnsi="Calibri" w:cs="Calibri"/>
          <w:i/>
          <w:iCs/>
          <w:sz w:val="24"/>
          <w:szCs w:val="24"/>
          <w:lang w:val="en-GB"/>
        </w:rPr>
        <w:t>R (British Medical Association) v General Medical Council</w:t>
      </w:r>
      <w:r w:rsidRPr="00713AB4">
        <w:rPr>
          <w:rFonts w:ascii="Calibri" w:hAnsi="Calibri" w:cs="Calibri"/>
          <w:sz w:val="24"/>
          <w:szCs w:val="24"/>
          <w:lang w:val="en-GB"/>
        </w:rPr>
        <w:t xml:space="preserve"> [2026] EWCA </w:t>
      </w:r>
      <w:proofErr w:type="spellStart"/>
      <w:r w:rsidRPr="00713AB4">
        <w:rPr>
          <w:rFonts w:ascii="Calibri" w:hAnsi="Calibri" w:cs="Calibri"/>
          <w:sz w:val="24"/>
          <w:szCs w:val="24"/>
          <w:lang w:val="en-GB"/>
        </w:rPr>
        <w:t>Civ</w:t>
      </w:r>
      <w:proofErr w:type="spellEnd"/>
      <w:r w:rsidRPr="00713AB4">
        <w:rPr>
          <w:rFonts w:ascii="Calibri" w:hAnsi="Calibri" w:cs="Calibri"/>
          <w:sz w:val="24"/>
          <w:szCs w:val="24"/>
          <w:lang w:val="en-GB"/>
        </w:rPr>
        <w:t xml:space="preserve"> 143, at [103]:</w:t>
      </w:r>
    </w:p>
    <w:p w14:paraId="23E7A0B1" w14:textId="633D5172" w:rsidR="00390BE7" w:rsidRPr="00713AB4" w:rsidRDefault="00FA1731" w:rsidP="00713AB4">
      <w:pPr>
        <w:pStyle w:val="BodyTextIndent"/>
        <w:rPr>
          <w:lang w:val="en-GB"/>
        </w:rPr>
      </w:pPr>
      <w:r>
        <w:rPr>
          <w:lang w:val="en-GB"/>
        </w:rPr>
        <w:t xml:space="preserve">“Of course, as with all public law challenges, this court must be wary of putting challenges into ‘entirely separate boxes’ (see </w:t>
      </w:r>
      <w:r>
        <w:rPr>
          <w:i/>
          <w:iCs/>
          <w:lang w:val="en-GB"/>
        </w:rPr>
        <w:t xml:space="preserve">R v Secretary of State for the Home Department ex </w:t>
      </w:r>
      <w:proofErr w:type="spellStart"/>
      <w:r>
        <w:rPr>
          <w:i/>
          <w:iCs/>
          <w:lang w:val="en-GB"/>
        </w:rPr>
        <w:t>parte</w:t>
      </w:r>
      <w:proofErr w:type="spellEnd"/>
      <w:r>
        <w:rPr>
          <w:i/>
          <w:iCs/>
          <w:lang w:val="en-GB"/>
        </w:rPr>
        <w:t xml:space="preserve"> </w:t>
      </w:r>
      <w:proofErr w:type="spellStart"/>
      <w:r>
        <w:rPr>
          <w:i/>
          <w:iCs/>
          <w:lang w:val="en-GB"/>
        </w:rPr>
        <w:t>Oladhinde</w:t>
      </w:r>
      <w:proofErr w:type="spellEnd"/>
      <w:r>
        <w:rPr>
          <w:lang w:val="en-GB"/>
        </w:rPr>
        <w:t xml:space="preserve"> [1990] 1 AC 254 at 280). The law of judicial review is not hermetically sealed. But neither should it be allowed to become the Wild West, with every case being decided afresh on </w:t>
      </w:r>
      <w:proofErr w:type="gramStart"/>
      <w:r>
        <w:rPr>
          <w:lang w:val="en-GB"/>
        </w:rPr>
        <w:t>newly-minted</w:t>
      </w:r>
      <w:proofErr w:type="gramEnd"/>
      <w:r>
        <w:rPr>
          <w:lang w:val="en-GB"/>
        </w:rPr>
        <w:t xml:space="preserve"> principles. The law of precedent generally, and the law and practice of judicial </w:t>
      </w:r>
      <w:proofErr w:type="gramStart"/>
      <w:r>
        <w:rPr>
          <w:lang w:val="en-GB"/>
        </w:rPr>
        <w:t>review in particular, requires</w:t>
      </w:r>
      <w:proofErr w:type="gramEnd"/>
      <w:r>
        <w:rPr>
          <w:lang w:val="en-GB"/>
        </w:rPr>
        <w:t xml:space="preserve"> there to be some form of solid foundation for any judicial review challenge. What is the test to be applied? What is the legal basis for the challenge?”</w:t>
      </w:r>
    </w:p>
    <w:p w14:paraId="2276AC5B" w14:textId="313A97FE" w:rsidR="0056241D" w:rsidRPr="0056241D" w:rsidRDefault="00390BE7" w:rsidP="0056241D">
      <w:pPr>
        <w:numPr>
          <w:ilvl w:val="0"/>
          <w:numId w:val="5"/>
        </w:numPr>
        <w:tabs>
          <w:tab w:val="num" w:pos="717"/>
        </w:tabs>
        <w:spacing w:after="240" w:line="360" w:lineRule="auto"/>
        <w:ind w:hanging="720"/>
        <w:jc w:val="both"/>
        <w:rPr>
          <w:rFonts w:ascii="Calibri" w:hAnsi="Calibri" w:cs="Calibri"/>
          <w:sz w:val="24"/>
          <w:szCs w:val="24"/>
          <w:lang w:val="en-GB"/>
        </w:rPr>
      </w:pPr>
      <w:r w:rsidRPr="00713AB4">
        <w:rPr>
          <w:rFonts w:ascii="Calibri" w:hAnsi="Calibri" w:cs="Calibri"/>
          <w:sz w:val="24"/>
          <w:szCs w:val="24"/>
          <w:lang w:val="en-GB"/>
        </w:rPr>
        <w:t xml:space="preserve">Such comments </w:t>
      </w:r>
      <w:r>
        <w:rPr>
          <w:rFonts w:ascii="Calibri" w:hAnsi="Calibri" w:cs="Calibri"/>
          <w:sz w:val="24"/>
          <w:szCs w:val="24"/>
          <w:lang w:val="en-GB"/>
        </w:rPr>
        <w:t xml:space="preserve">sit within the context of a </w:t>
      </w:r>
      <w:r w:rsidR="00354BB1">
        <w:rPr>
          <w:rFonts w:ascii="Calibri" w:hAnsi="Calibri" w:cs="Calibri"/>
          <w:sz w:val="24"/>
          <w:szCs w:val="24"/>
          <w:lang w:val="en-GB"/>
        </w:rPr>
        <w:t xml:space="preserve">series of Supreme Court cases which have solidified (or narrowed, depending on your point of view) the grounds of judicial review and the courts’ approach to their application. See </w:t>
      </w:r>
      <w:r w:rsidR="0056241D" w:rsidRPr="0056241D">
        <w:rPr>
          <w:rFonts w:ascii="Calibri" w:hAnsi="Calibri" w:cs="Calibri"/>
          <w:sz w:val="24"/>
          <w:szCs w:val="24"/>
        </w:rPr>
        <w:t xml:space="preserve">Lord Burnett of Maldon: “Five cases in the Supreme Court that reset public law” (Blackstone Chambers Public Law Conference, 12 June 2025, available at </w:t>
      </w:r>
      <w:hyperlink r:id="rId13" w:tgtFrame="_blank" w:history="1">
        <w:r w:rsidR="0056241D" w:rsidRPr="0056241D">
          <w:rPr>
            <w:rStyle w:val="Hyperlink"/>
            <w:rFonts w:ascii="Calibri" w:hAnsi="Calibri" w:cs="Calibri"/>
            <w:sz w:val="24"/>
            <w:szCs w:val="24"/>
            <w:lang w:val="en-GB"/>
          </w:rPr>
          <w:t>https://youtu.be/LJkR8Dx1SWM</w:t>
        </w:r>
      </w:hyperlink>
      <w:r w:rsidR="0056241D" w:rsidRPr="0056241D">
        <w:rPr>
          <w:rFonts w:ascii="Calibri" w:hAnsi="Calibri" w:cs="Calibri"/>
          <w:sz w:val="24"/>
          <w:szCs w:val="24"/>
          <w:lang w:val="en-GB"/>
        </w:rPr>
        <w:t>) relying on:</w:t>
      </w:r>
    </w:p>
    <w:p w14:paraId="5CEB18BA" w14:textId="40D063D5" w:rsidR="00980787" w:rsidRPr="007A527C" w:rsidRDefault="00980787" w:rsidP="00980787">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themeColor="text1"/>
          <w:sz w:val="24"/>
          <w:szCs w:val="24"/>
          <w:lang w:val="en-GB"/>
        </w:rPr>
      </w:pPr>
      <w:r w:rsidRPr="007A527C">
        <w:rPr>
          <w:rFonts w:ascii="Calibri" w:eastAsia="Arial" w:hAnsi="Calibri" w:cs="Calibri"/>
          <w:i/>
          <w:iCs/>
          <w:color w:val="000000" w:themeColor="text1"/>
          <w:sz w:val="24"/>
          <w:szCs w:val="24"/>
          <w:lang w:val="en-GB"/>
        </w:rPr>
        <w:lastRenderedPageBreak/>
        <w:t>R (AB) v Secretary of State for Justice</w:t>
      </w:r>
      <w:r w:rsidRPr="007A527C">
        <w:rPr>
          <w:rFonts w:ascii="Calibri" w:eastAsia="Arial" w:hAnsi="Calibri" w:cs="Calibri"/>
          <w:color w:val="000000" w:themeColor="text1"/>
          <w:sz w:val="24"/>
          <w:szCs w:val="24"/>
          <w:lang w:val="en-GB"/>
        </w:rPr>
        <w:t xml:space="preserve"> [2021] UKSC 8</w:t>
      </w:r>
      <w:r w:rsidR="00481207">
        <w:rPr>
          <w:rFonts w:ascii="Calibri" w:eastAsia="Arial" w:hAnsi="Calibri" w:cs="Calibri"/>
          <w:color w:val="000000" w:themeColor="text1"/>
          <w:sz w:val="24"/>
          <w:szCs w:val="24"/>
          <w:lang w:val="en-GB"/>
        </w:rPr>
        <w:t xml:space="preserve"> – reaffirming the </w:t>
      </w:r>
      <w:r w:rsidR="00481207">
        <w:rPr>
          <w:rFonts w:ascii="Calibri" w:eastAsia="Arial" w:hAnsi="Calibri" w:cs="Calibri"/>
          <w:i/>
          <w:iCs/>
          <w:color w:val="000000" w:themeColor="text1"/>
          <w:sz w:val="24"/>
          <w:szCs w:val="24"/>
          <w:lang w:val="en-GB"/>
        </w:rPr>
        <w:t>Ullah</w:t>
      </w:r>
      <w:r w:rsidR="00481207">
        <w:rPr>
          <w:rFonts w:ascii="Calibri" w:eastAsia="Arial" w:hAnsi="Calibri" w:cs="Calibri"/>
          <w:color w:val="000000" w:themeColor="text1"/>
          <w:sz w:val="24"/>
          <w:szCs w:val="24"/>
          <w:lang w:val="en-GB"/>
        </w:rPr>
        <w:t xml:space="preserve"> principle of keeping pace with Strasbourg authorities in relation to ECHR issues</w:t>
      </w:r>
      <w:r w:rsidR="00FC7B06">
        <w:rPr>
          <w:rFonts w:ascii="Calibri" w:eastAsia="Arial" w:hAnsi="Calibri" w:cs="Calibri"/>
          <w:color w:val="000000" w:themeColor="text1"/>
          <w:sz w:val="24"/>
          <w:szCs w:val="24"/>
          <w:lang w:val="en-GB"/>
        </w:rPr>
        <w:t>:</w:t>
      </w:r>
      <w:r w:rsidR="00481207">
        <w:rPr>
          <w:rFonts w:ascii="Calibri" w:eastAsia="Arial" w:hAnsi="Calibri" w:cs="Calibri"/>
          <w:color w:val="000000" w:themeColor="text1"/>
          <w:sz w:val="24"/>
          <w:szCs w:val="24"/>
          <w:lang w:val="en-GB"/>
        </w:rPr>
        <w:t xml:space="preserve"> “no more, no less”</w:t>
      </w:r>
      <w:r w:rsidR="007750FA">
        <w:rPr>
          <w:rFonts w:ascii="Calibri" w:eastAsia="Arial" w:hAnsi="Calibri" w:cs="Calibri"/>
          <w:color w:val="000000" w:themeColor="text1"/>
          <w:sz w:val="24"/>
          <w:szCs w:val="24"/>
          <w:lang w:val="en-GB"/>
        </w:rPr>
        <w:t>;</w:t>
      </w:r>
    </w:p>
    <w:p w14:paraId="65E8BC95" w14:textId="6FEFC77F" w:rsidR="006726B2" w:rsidRPr="007A527C" w:rsidRDefault="006726B2" w:rsidP="006726B2">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themeColor="text1"/>
          <w:sz w:val="24"/>
          <w:szCs w:val="24"/>
          <w:lang w:val="en-GB"/>
        </w:rPr>
      </w:pPr>
      <w:r w:rsidRPr="007A527C">
        <w:rPr>
          <w:rFonts w:ascii="Calibri" w:eastAsia="Arial" w:hAnsi="Calibri" w:cs="Calibri"/>
          <w:i/>
          <w:iCs/>
          <w:color w:val="000000" w:themeColor="text1"/>
          <w:sz w:val="24"/>
          <w:szCs w:val="24"/>
          <w:lang w:val="en-GB"/>
        </w:rPr>
        <w:t>R (Elan-Cane) v</w:t>
      </w:r>
      <w:r w:rsidRPr="007A527C">
        <w:rPr>
          <w:rFonts w:ascii="Calibri" w:eastAsia="Arial" w:hAnsi="Calibri" w:cs="Calibri"/>
          <w:color w:val="000000" w:themeColor="text1"/>
          <w:sz w:val="24"/>
          <w:szCs w:val="24"/>
          <w:lang w:val="en-GB"/>
        </w:rPr>
        <w:t xml:space="preserve"> </w:t>
      </w:r>
      <w:r>
        <w:rPr>
          <w:rFonts w:ascii="Calibri" w:eastAsia="Arial" w:hAnsi="Calibri" w:cs="Calibri"/>
          <w:i/>
          <w:iCs/>
          <w:color w:val="000000" w:themeColor="text1"/>
          <w:sz w:val="24"/>
          <w:szCs w:val="24"/>
          <w:lang w:val="en-GB"/>
        </w:rPr>
        <w:t>Secretary of State for the Home Department</w:t>
      </w:r>
      <w:r w:rsidRPr="007A527C">
        <w:rPr>
          <w:rFonts w:ascii="Calibri" w:eastAsia="Arial" w:hAnsi="Calibri" w:cs="Calibri"/>
          <w:color w:val="000000" w:themeColor="text1"/>
          <w:sz w:val="24"/>
          <w:szCs w:val="24"/>
          <w:lang w:val="en-GB"/>
        </w:rPr>
        <w:t xml:space="preserve"> [2021] UKSC 56</w:t>
      </w:r>
      <w:r w:rsidR="003059D5">
        <w:rPr>
          <w:rFonts w:ascii="Calibri" w:eastAsia="Arial" w:hAnsi="Calibri" w:cs="Calibri"/>
          <w:color w:val="000000" w:themeColor="text1"/>
          <w:sz w:val="24"/>
          <w:szCs w:val="24"/>
          <w:lang w:val="en-GB"/>
        </w:rPr>
        <w:t xml:space="preserve"> – rejecting dicta in </w:t>
      </w:r>
      <w:r w:rsidR="003059D5">
        <w:rPr>
          <w:rFonts w:ascii="Calibri" w:eastAsia="Arial" w:hAnsi="Calibri" w:cs="Calibri"/>
          <w:i/>
          <w:iCs/>
          <w:color w:val="000000" w:themeColor="text1"/>
          <w:sz w:val="24"/>
          <w:szCs w:val="24"/>
          <w:lang w:val="en-GB"/>
        </w:rPr>
        <w:t>Re G</w:t>
      </w:r>
      <w:r w:rsidR="003059D5">
        <w:rPr>
          <w:rFonts w:ascii="Calibri" w:eastAsia="Arial" w:hAnsi="Calibri" w:cs="Calibri"/>
          <w:color w:val="000000" w:themeColor="text1"/>
          <w:sz w:val="24"/>
          <w:szCs w:val="24"/>
          <w:lang w:val="en-GB"/>
        </w:rPr>
        <w:t>;</w:t>
      </w:r>
    </w:p>
    <w:p w14:paraId="3DBEF1B4" w14:textId="09C40408" w:rsidR="0056241D" w:rsidRPr="00713AB4" w:rsidRDefault="0056241D" w:rsidP="00713AB4">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themeColor="text1"/>
          <w:sz w:val="24"/>
          <w:szCs w:val="24"/>
          <w:lang w:val="en-GB"/>
        </w:rPr>
      </w:pPr>
      <w:r w:rsidRPr="00713AB4">
        <w:rPr>
          <w:rFonts w:ascii="Calibri" w:eastAsia="Arial" w:hAnsi="Calibri" w:cs="Calibri"/>
          <w:i/>
          <w:iCs/>
          <w:color w:val="000000" w:themeColor="text1"/>
          <w:sz w:val="24"/>
          <w:szCs w:val="24"/>
          <w:lang w:val="en-GB"/>
        </w:rPr>
        <w:t xml:space="preserve">R (BF) </w:t>
      </w:r>
      <w:r>
        <w:rPr>
          <w:rFonts w:ascii="Calibri" w:eastAsia="Arial" w:hAnsi="Calibri" w:cs="Calibri"/>
          <w:i/>
          <w:iCs/>
          <w:color w:val="000000" w:themeColor="text1"/>
          <w:sz w:val="24"/>
          <w:szCs w:val="24"/>
          <w:lang w:val="en-GB"/>
        </w:rPr>
        <w:t>v Secretary of State for the Home Department</w:t>
      </w:r>
      <w:r w:rsidRPr="00713AB4">
        <w:rPr>
          <w:rFonts w:ascii="Calibri" w:eastAsia="Arial" w:hAnsi="Calibri" w:cs="Calibri"/>
          <w:color w:val="000000" w:themeColor="text1"/>
          <w:sz w:val="24"/>
          <w:szCs w:val="24"/>
          <w:lang w:val="en-GB"/>
        </w:rPr>
        <w:t xml:space="preserve"> [2021] UKSC 28</w:t>
      </w:r>
      <w:r w:rsidR="00F836BE">
        <w:rPr>
          <w:rFonts w:ascii="Calibri" w:eastAsia="Arial" w:hAnsi="Calibri" w:cs="Calibri"/>
          <w:color w:val="000000" w:themeColor="text1"/>
          <w:sz w:val="24"/>
          <w:szCs w:val="24"/>
          <w:lang w:val="en-GB"/>
        </w:rPr>
        <w:t xml:space="preserve"> – restating the law on challenging policy</w:t>
      </w:r>
      <w:r w:rsidR="00A63B16">
        <w:rPr>
          <w:rFonts w:ascii="Calibri" w:eastAsia="Arial" w:hAnsi="Calibri" w:cs="Calibri"/>
          <w:color w:val="000000" w:themeColor="text1"/>
          <w:sz w:val="24"/>
          <w:szCs w:val="24"/>
          <w:lang w:val="en-GB"/>
        </w:rPr>
        <w:t xml:space="preserve"> from </w:t>
      </w:r>
      <w:r w:rsidR="00A63B16">
        <w:rPr>
          <w:rFonts w:ascii="Calibri" w:eastAsia="Arial" w:hAnsi="Calibri" w:cs="Calibri"/>
          <w:i/>
          <w:iCs/>
          <w:color w:val="000000" w:themeColor="text1"/>
          <w:sz w:val="24"/>
          <w:szCs w:val="24"/>
          <w:lang w:val="en-GB"/>
        </w:rPr>
        <w:t>Gillick</w:t>
      </w:r>
      <w:r w:rsidR="005A2AB5">
        <w:rPr>
          <w:rFonts w:ascii="Calibri" w:eastAsia="Arial" w:hAnsi="Calibri" w:cs="Calibri"/>
          <w:color w:val="000000" w:themeColor="text1"/>
          <w:sz w:val="24"/>
          <w:szCs w:val="24"/>
          <w:lang w:val="en-GB"/>
        </w:rPr>
        <w:t>, i.e., whether policy positively authorises or approves unlawful conduct by others</w:t>
      </w:r>
      <w:r w:rsidR="00293770">
        <w:rPr>
          <w:rFonts w:ascii="Calibri" w:eastAsia="Arial" w:hAnsi="Calibri" w:cs="Calibri"/>
          <w:color w:val="000000" w:themeColor="text1"/>
          <w:sz w:val="24"/>
          <w:szCs w:val="24"/>
          <w:lang w:val="en-GB"/>
        </w:rPr>
        <w:t>;</w:t>
      </w:r>
    </w:p>
    <w:p w14:paraId="68F7B16D" w14:textId="26F8A222" w:rsidR="0039126E" w:rsidRPr="007A527C" w:rsidRDefault="0039126E" w:rsidP="0039126E">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themeColor="text1"/>
          <w:sz w:val="24"/>
          <w:szCs w:val="24"/>
          <w:lang w:val="en-GB"/>
        </w:rPr>
      </w:pPr>
      <w:r w:rsidRPr="007A527C">
        <w:rPr>
          <w:rFonts w:ascii="Calibri" w:eastAsia="Arial" w:hAnsi="Calibri" w:cs="Calibri"/>
          <w:i/>
          <w:iCs/>
          <w:color w:val="000000" w:themeColor="text1"/>
          <w:sz w:val="24"/>
          <w:szCs w:val="24"/>
          <w:lang w:val="en-GB"/>
        </w:rPr>
        <w:t>Begum v</w:t>
      </w:r>
      <w:r w:rsidRPr="007A527C">
        <w:rPr>
          <w:rFonts w:ascii="Calibri" w:eastAsia="Arial" w:hAnsi="Calibri" w:cs="Calibri"/>
          <w:color w:val="000000" w:themeColor="text1"/>
          <w:sz w:val="24"/>
          <w:szCs w:val="24"/>
          <w:lang w:val="en-GB"/>
        </w:rPr>
        <w:t xml:space="preserve"> </w:t>
      </w:r>
      <w:r>
        <w:rPr>
          <w:rFonts w:ascii="Calibri" w:eastAsia="Arial" w:hAnsi="Calibri" w:cs="Calibri"/>
          <w:i/>
          <w:iCs/>
          <w:color w:val="000000" w:themeColor="text1"/>
          <w:sz w:val="24"/>
          <w:szCs w:val="24"/>
          <w:lang w:val="en-GB"/>
        </w:rPr>
        <w:t>Secretary of State for the Home Department</w:t>
      </w:r>
      <w:r w:rsidRPr="007A527C">
        <w:rPr>
          <w:rFonts w:ascii="Calibri" w:eastAsia="Arial" w:hAnsi="Calibri" w:cs="Calibri"/>
          <w:color w:val="000000" w:themeColor="text1"/>
          <w:sz w:val="24"/>
          <w:szCs w:val="24"/>
          <w:lang w:val="en-GB"/>
        </w:rPr>
        <w:t xml:space="preserve"> [2021] UKSC 7</w:t>
      </w:r>
      <w:r>
        <w:rPr>
          <w:rFonts w:ascii="Calibri" w:eastAsia="Arial" w:hAnsi="Calibri" w:cs="Calibri"/>
          <w:color w:val="000000" w:themeColor="text1"/>
          <w:sz w:val="24"/>
          <w:szCs w:val="24"/>
          <w:lang w:val="en-GB"/>
        </w:rPr>
        <w:t xml:space="preserve"> –</w:t>
      </w:r>
      <w:r w:rsidR="00664B0F">
        <w:rPr>
          <w:rFonts w:ascii="Calibri" w:eastAsia="Arial" w:hAnsi="Calibri" w:cs="Calibri"/>
          <w:color w:val="000000" w:themeColor="text1"/>
          <w:sz w:val="24"/>
          <w:szCs w:val="24"/>
          <w:lang w:val="en-GB"/>
        </w:rPr>
        <w:t xml:space="preserve"> </w:t>
      </w:r>
      <w:r w:rsidR="00AB1FA9">
        <w:rPr>
          <w:rFonts w:ascii="Calibri" w:eastAsia="Arial" w:hAnsi="Calibri" w:cs="Calibri"/>
          <w:color w:val="000000" w:themeColor="text1"/>
          <w:sz w:val="24"/>
          <w:szCs w:val="24"/>
          <w:lang w:val="en-GB"/>
        </w:rPr>
        <w:t>clarifying the court’s role in national security cases</w:t>
      </w:r>
      <w:r w:rsidR="006F20C0">
        <w:rPr>
          <w:rFonts w:ascii="Calibri" w:eastAsia="Arial" w:hAnsi="Calibri" w:cs="Calibri"/>
          <w:color w:val="000000" w:themeColor="text1"/>
          <w:sz w:val="24"/>
          <w:szCs w:val="24"/>
          <w:lang w:val="en-GB"/>
        </w:rPr>
        <w:t>, i.e., deference/respect to SoS’s exercise of judgement</w:t>
      </w:r>
      <w:r w:rsidR="009779A2">
        <w:rPr>
          <w:rFonts w:ascii="Calibri" w:eastAsia="Arial" w:hAnsi="Calibri" w:cs="Calibri"/>
          <w:color w:val="000000" w:themeColor="text1"/>
          <w:sz w:val="24"/>
          <w:szCs w:val="24"/>
          <w:lang w:val="en-GB"/>
        </w:rPr>
        <w:t xml:space="preserve"> and reaffirming boundaries of court’s constitutional responsibilities</w:t>
      </w:r>
      <w:r w:rsidR="00837554">
        <w:rPr>
          <w:rFonts w:ascii="Calibri" w:eastAsia="Arial" w:hAnsi="Calibri" w:cs="Calibri"/>
          <w:color w:val="000000" w:themeColor="text1"/>
          <w:sz w:val="24"/>
          <w:szCs w:val="24"/>
          <w:lang w:val="en-GB"/>
        </w:rPr>
        <w:t>;</w:t>
      </w:r>
    </w:p>
    <w:p w14:paraId="25BA11F5" w14:textId="21F7681C" w:rsidR="0056241D" w:rsidRPr="00713AB4" w:rsidRDefault="0056241D" w:rsidP="00713AB4">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themeColor="text1"/>
          <w:sz w:val="24"/>
          <w:szCs w:val="24"/>
          <w:lang w:val="en-GB"/>
        </w:rPr>
      </w:pPr>
      <w:r w:rsidRPr="00713AB4">
        <w:rPr>
          <w:rFonts w:ascii="Calibri" w:eastAsia="Arial" w:hAnsi="Calibri" w:cs="Calibri"/>
          <w:i/>
          <w:iCs/>
          <w:color w:val="000000" w:themeColor="text1"/>
          <w:sz w:val="24"/>
          <w:szCs w:val="24"/>
          <w:lang w:val="en-GB"/>
        </w:rPr>
        <w:t>R (SC) v Secretary of State for Work and Pensions</w:t>
      </w:r>
      <w:r w:rsidRPr="00713AB4">
        <w:rPr>
          <w:rFonts w:ascii="Calibri" w:eastAsia="Arial" w:hAnsi="Calibri" w:cs="Calibri"/>
          <w:color w:val="000000" w:themeColor="text1"/>
          <w:sz w:val="24"/>
          <w:szCs w:val="24"/>
          <w:lang w:val="en-GB"/>
        </w:rPr>
        <w:t xml:space="preserve"> [2021] UKSC 26</w:t>
      </w:r>
      <w:r w:rsidR="0039126E">
        <w:rPr>
          <w:rFonts w:ascii="Calibri" w:eastAsia="Arial" w:hAnsi="Calibri" w:cs="Calibri"/>
          <w:color w:val="000000" w:themeColor="text1"/>
          <w:sz w:val="24"/>
          <w:szCs w:val="24"/>
          <w:lang w:val="en-GB"/>
        </w:rPr>
        <w:t xml:space="preserve"> – </w:t>
      </w:r>
      <w:r w:rsidR="00AC313E">
        <w:rPr>
          <w:rFonts w:ascii="Calibri" w:eastAsia="Arial" w:hAnsi="Calibri" w:cs="Calibri"/>
          <w:color w:val="000000" w:themeColor="text1"/>
          <w:sz w:val="24"/>
          <w:szCs w:val="24"/>
          <w:lang w:val="en-GB"/>
        </w:rPr>
        <w:t>reaffirming the orthodox approach to unincorporated international treaty obligations, i.e., they are generally not justiciable.</w:t>
      </w:r>
    </w:p>
    <w:p w14:paraId="58EB0859" w14:textId="77777777"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CPR </w:t>
      </w:r>
      <w:r w:rsidRPr="00390BE7">
        <w:rPr>
          <w:rFonts w:ascii="Calibri" w:eastAsia="Times New Roman" w:hAnsi="Calibri" w:cs="Calibri"/>
          <w:sz w:val="24"/>
          <w:szCs w:val="20"/>
          <w:lang w:val="en-GB"/>
        </w:rPr>
        <w:t>54</w:t>
      </w:r>
      <w:r w:rsidRPr="00713AB4">
        <w:rPr>
          <w:rFonts w:ascii="Calibri" w:eastAsia="Arial" w:hAnsi="Calibri" w:cs="Calibri"/>
          <w:color w:val="000000"/>
          <w:sz w:val="24"/>
          <w:szCs w:val="24"/>
          <w:lang w:val="en-GB"/>
        </w:rPr>
        <w:t>.1 has a definition of judicial review. It states:</w:t>
      </w:r>
    </w:p>
    <w:p w14:paraId="4BAC13AD" w14:textId="77777777" w:rsidR="00152920" w:rsidRPr="00713AB4" w:rsidRDefault="00152920">
      <w:pPr>
        <w:pStyle w:val="ListParagraph"/>
        <w:numPr>
          <w:ilvl w:val="0"/>
          <w:numId w:val="7"/>
        </w:numPr>
        <w:tabs>
          <w:tab w:val="left" w:pos="360"/>
          <w:tab w:val="left" w:pos="1584"/>
        </w:tabs>
        <w:spacing w:after="240" w:line="360" w:lineRule="auto"/>
        <w:ind w:left="1224" w:right="85"/>
        <w:contextualSpacing w:val="0"/>
        <w:jc w:val="both"/>
        <w:textAlignment w:val="baseline"/>
        <w:rPr>
          <w:rFonts w:ascii="Calibri" w:eastAsia="Arial" w:hAnsi="Calibri" w:cs="Calibri"/>
          <w:color w:val="000000"/>
          <w:lang w:val="en-GB"/>
        </w:rPr>
      </w:pPr>
      <w:r w:rsidRPr="00713AB4">
        <w:rPr>
          <w:rFonts w:ascii="Calibri" w:eastAsia="Arial" w:hAnsi="Calibri" w:cs="Calibri"/>
          <w:color w:val="000000"/>
          <w:lang w:val="en-GB"/>
        </w:rPr>
        <w:t>This Section of this Part contains rules about judicial review.</w:t>
      </w:r>
    </w:p>
    <w:p w14:paraId="4CB391B9" w14:textId="77777777" w:rsidR="00082D4E" w:rsidRPr="00713AB4" w:rsidRDefault="00152920">
      <w:pPr>
        <w:pStyle w:val="ListParagraph"/>
        <w:numPr>
          <w:ilvl w:val="0"/>
          <w:numId w:val="7"/>
        </w:numPr>
        <w:tabs>
          <w:tab w:val="left" w:pos="360"/>
          <w:tab w:val="left" w:pos="1584"/>
        </w:tabs>
        <w:spacing w:after="240" w:line="360" w:lineRule="auto"/>
        <w:ind w:left="1224" w:right="85"/>
        <w:contextualSpacing w:val="0"/>
        <w:jc w:val="both"/>
        <w:textAlignment w:val="baseline"/>
        <w:rPr>
          <w:rFonts w:ascii="Calibri" w:eastAsia="Arial" w:hAnsi="Calibri" w:cs="Calibri"/>
          <w:color w:val="000000"/>
          <w:spacing w:val="-1"/>
          <w:lang w:val="en-GB"/>
        </w:rPr>
      </w:pPr>
      <w:r w:rsidRPr="00713AB4">
        <w:rPr>
          <w:rFonts w:ascii="Calibri" w:eastAsia="Arial" w:hAnsi="Calibri" w:cs="Calibri"/>
          <w:color w:val="000000"/>
          <w:spacing w:val="-1"/>
          <w:lang w:val="en-GB"/>
        </w:rPr>
        <w:t>In this section –</w:t>
      </w:r>
    </w:p>
    <w:p w14:paraId="65C0C2F3" w14:textId="749A2DD6" w:rsidR="003E4441" w:rsidRPr="00713AB4" w:rsidRDefault="00920F72" w:rsidP="00920F72">
      <w:pPr>
        <w:pStyle w:val="ListParagraph"/>
        <w:numPr>
          <w:ilvl w:val="0"/>
          <w:numId w:val="6"/>
        </w:numPr>
        <w:tabs>
          <w:tab w:val="left" w:pos="1584"/>
        </w:tabs>
        <w:spacing w:after="240" w:line="360" w:lineRule="auto"/>
        <w:ind w:left="1944" w:right="85"/>
        <w:contextualSpacing w:val="0"/>
        <w:jc w:val="both"/>
        <w:textAlignment w:val="baseline"/>
        <w:rPr>
          <w:rFonts w:ascii="Calibri" w:eastAsia="Arial" w:hAnsi="Calibri" w:cs="Calibri"/>
          <w:color w:val="000000"/>
          <w:spacing w:val="-1"/>
          <w:lang w:val="en-GB"/>
        </w:rPr>
      </w:pPr>
      <w:r w:rsidRPr="00713AB4">
        <w:rPr>
          <w:rFonts w:ascii="Calibri" w:eastAsia="Arial" w:hAnsi="Calibri" w:cs="Calibri"/>
          <w:color w:val="000000"/>
          <w:lang w:val="en-GB"/>
        </w:rPr>
        <w:t>a</w:t>
      </w:r>
      <w:r w:rsidR="00152920" w:rsidRPr="00713AB4">
        <w:rPr>
          <w:rFonts w:ascii="Calibri" w:eastAsia="Arial" w:hAnsi="Calibri" w:cs="Calibri"/>
          <w:color w:val="000000"/>
          <w:lang w:val="en-GB"/>
        </w:rPr>
        <w:t xml:space="preserve"> ‘claim for judicial review’ means a claim to review the lawfulness of –</w:t>
      </w:r>
    </w:p>
    <w:p w14:paraId="271CC60C" w14:textId="77777777" w:rsidR="003E4441" w:rsidRPr="00713AB4" w:rsidRDefault="00152920" w:rsidP="00A025D8">
      <w:pPr>
        <w:pStyle w:val="ListParagraph"/>
        <w:numPr>
          <w:ilvl w:val="0"/>
          <w:numId w:val="29"/>
        </w:numPr>
        <w:tabs>
          <w:tab w:val="left" w:pos="1584"/>
        </w:tabs>
        <w:spacing w:after="240" w:line="360" w:lineRule="auto"/>
        <w:ind w:right="85"/>
        <w:contextualSpacing w:val="0"/>
        <w:jc w:val="both"/>
        <w:textAlignment w:val="baseline"/>
        <w:rPr>
          <w:rFonts w:ascii="Calibri" w:eastAsia="Arial" w:hAnsi="Calibri" w:cs="Calibri"/>
          <w:color w:val="000000"/>
          <w:spacing w:val="-1"/>
          <w:lang w:val="en-GB"/>
        </w:rPr>
      </w:pPr>
      <w:r w:rsidRPr="00713AB4">
        <w:rPr>
          <w:rFonts w:ascii="Calibri" w:eastAsia="Arial" w:hAnsi="Calibri" w:cs="Calibri"/>
          <w:color w:val="000000"/>
          <w:spacing w:val="-1"/>
          <w:lang w:val="en-GB"/>
        </w:rPr>
        <w:t>an enactment; or</w:t>
      </w:r>
    </w:p>
    <w:p w14:paraId="7D45074E" w14:textId="5BC9C897" w:rsidR="00DD71D4" w:rsidRPr="00713AB4" w:rsidRDefault="00152920" w:rsidP="00A025D8">
      <w:pPr>
        <w:pStyle w:val="ListParagraph"/>
        <w:numPr>
          <w:ilvl w:val="0"/>
          <w:numId w:val="29"/>
        </w:numPr>
        <w:tabs>
          <w:tab w:val="left" w:pos="1584"/>
        </w:tabs>
        <w:spacing w:after="240" w:line="360" w:lineRule="auto"/>
        <w:ind w:right="85"/>
        <w:contextualSpacing w:val="0"/>
        <w:jc w:val="both"/>
        <w:textAlignment w:val="baseline"/>
        <w:rPr>
          <w:rFonts w:ascii="Calibri" w:eastAsia="Arial" w:hAnsi="Calibri" w:cs="Calibri"/>
          <w:color w:val="000000"/>
          <w:spacing w:val="-1"/>
          <w:lang w:val="en-GB"/>
        </w:rPr>
      </w:pPr>
      <w:r w:rsidRPr="00713AB4">
        <w:rPr>
          <w:rFonts w:ascii="Calibri" w:eastAsia="Arial" w:hAnsi="Calibri" w:cs="Calibri"/>
          <w:color w:val="000000"/>
          <w:lang w:val="en-GB"/>
        </w:rPr>
        <w:t>a decision, action or failure to act in relation to the exercise</w:t>
      </w:r>
      <w:r w:rsidR="00DD71D4" w:rsidRPr="00713AB4">
        <w:rPr>
          <w:rFonts w:ascii="Calibri" w:eastAsia="Arial" w:hAnsi="Calibri" w:cs="Calibri"/>
          <w:color w:val="000000"/>
          <w:lang w:val="en-GB"/>
        </w:rPr>
        <w:t xml:space="preserve"> </w:t>
      </w:r>
      <w:r w:rsidRPr="00713AB4">
        <w:rPr>
          <w:rFonts w:ascii="Calibri" w:eastAsia="Arial" w:hAnsi="Calibri" w:cs="Calibri"/>
          <w:color w:val="000000"/>
          <w:lang w:val="en-GB"/>
        </w:rPr>
        <w:t>of a public function.</w:t>
      </w:r>
    </w:p>
    <w:p w14:paraId="18F77831" w14:textId="19D01556" w:rsidR="00DF375B"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This definition of judicial review raises an important point about the purpose of the </w:t>
      </w:r>
      <w:r w:rsidRPr="00390BE7">
        <w:rPr>
          <w:rFonts w:ascii="Calibri" w:eastAsia="Times New Roman" w:hAnsi="Calibri" w:cs="Calibri"/>
          <w:sz w:val="24"/>
          <w:szCs w:val="20"/>
          <w:lang w:val="en-GB"/>
        </w:rPr>
        <w:t>procedure</w:t>
      </w:r>
      <w:r w:rsidRPr="00713AB4">
        <w:rPr>
          <w:rFonts w:ascii="Calibri" w:eastAsia="Arial" w:hAnsi="Calibri" w:cs="Calibri"/>
          <w:color w:val="000000"/>
          <w:sz w:val="24"/>
          <w:szCs w:val="24"/>
          <w:lang w:val="en-GB"/>
        </w:rPr>
        <w:t xml:space="preserve">, which is considered further below (see paragraph </w:t>
      </w:r>
      <w:r w:rsidR="001B749D">
        <w:rPr>
          <w:rFonts w:ascii="Calibri" w:eastAsia="Arial" w:hAnsi="Calibri" w:cs="Calibri"/>
          <w:color w:val="000000"/>
          <w:sz w:val="24"/>
          <w:szCs w:val="24"/>
          <w:lang w:val="en-GB"/>
        </w:rPr>
        <w:t>37ff.</w:t>
      </w:r>
      <w:r w:rsidRPr="00713AB4">
        <w:rPr>
          <w:rFonts w:ascii="Calibri" w:eastAsia="Arial" w:hAnsi="Calibri" w:cs="Calibri"/>
          <w:color w:val="000000"/>
          <w:sz w:val="24"/>
          <w:szCs w:val="24"/>
          <w:lang w:val="en-GB"/>
        </w:rPr>
        <w:t>).</w:t>
      </w:r>
    </w:p>
    <w:p w14:paraId="42834C2C" w14:textId="0326A3E7" w:rsidR="00152920" w:rsidRPr="00713AB4" w:rsidRDefault="00152920" w:rsidP="00970EF1">
      <w:pPr>
        <w:spacing w:after="240" w:line="360" w:lineRule="auto"/>
        <w:ind w:left="720" w:right="85"/>
        <w:jc w:val="both"/>
        <w:textAlignment w:val="baseline"/>
        <w:rPr>
          <w:rFonts w:ascii="Calibri" w:eastAsia="Arial" w:hAnsi="Calibri" w:cs="Calibri"/>
          <w:b/>
          <w:color w:val="000000"/>
          <w:sz w:val="24"/>
          <w:szCs w:val="24"/>
          <w:lang w:val="en-GB"/>
        </w:rPr>
      </w:pPr>
      <w:r w:rsidRPr="00713AB4">
        <w:rPr>
          <w:rFonts w:ascii="Calibri" w:eastAsia="Arial" w:hAnsi="Calibri" w:cs="Calibri"/>
          <w:b/>
          <w:color w:val="000000"/>
          <w:sz w:val="24"/>
          <w:szCs w:val="24"/>
          <w:lang w:val="en-GB"/>
        </w:rPr>
        <w:lastRenderedPageBreak/>
        <w:t>Judicial Review is the name of a type of application referred to in section 31 of those Senior Courts Act 1981, and defined by reference to the remedies that the court can order</w:t>
      </w:r>
    </w:p>
    <w:p w14:paraId="19ABB8C5" w14:textId="77777777" w:rsidR="00BB6315"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Section 31(1) of the Senior Courts Act 1981 states: </w:t>
      </w:r>
    </w:p>
    <w:p w14:paraId="420E00C9" w14:textId="18589729" w:rsidR="00152920" w:rsidRPr="00713AB4" w:rsidRDefault="00152920" w:rsidP="00022E42">
      <w:pPr>
        <w:tabs>
          <w:tab w:val="left" w:pos="360"/>
          <w:tab w:val="left" w:pos="864"/>
        </w:tabs>
        <w:spacing w:after="240" w:line="360" w:lineRule="auto"/>
        <w:ind w:left="864" w:right="85"/>
        <w:jc w:val="both"/>
        <w:textAlignment w:val="baseline"/>
        <w:rPr>
          <w:rFonts w:ascii="Calibri" w:eastAsia="Arial" w:hAnsi="Calibri" w:cs="Calibri"/>
          <w:color w:val="000000"/>
          <w:lang w:val="en-GB"/>
        </w:rPr>
      </w:pPr>
      <w:r w:rsidRPr="00713AB4">
        <w:rPr>
          <w:rFonts w:ascii="Calibri" w:eastAsia="Arial" w:hAnsi="Calibri" w:cs="Calibri"/>
          <w:color w:val="000000"/>
          <w:lang w:val="en-GB"/>
        </w:rPr>
        <w:t>31 Application for judicial review.</w:t>
      </w:r>
    </w:p>
    <w:p w14:paraId="2E40FFD4" w14:textId="77777777" w:rsidR="00152920" w:rsidRPr="00713AB4" w:rsidRDefault="00152920" w:rsidP="001B5346">
      <w:pPr>
        <w:numPr>
          <w:ilvl w:val="0"/>
          <w:numId w:val="31"/>
        </w:numPr>
        <w:tabs>
          <w:tab w:val="left" w:pos="360"/>
          <w:tab w:val="left" w:pos="1584"/>
        </w:tabs>
        <w:spacing w:after="240" w:line="360" w:lineRule="auto"/>
        <w:ind w:right="85"/>
        <w:jc w:val="both"/>
        <w:textAlignment w:val="baseline"/>
        <w:rPr>
          <w:rFonts w:ascii="Calibri" w:eastAsia="Arial" w:hAnsi="Calibri" w:cs="Calibri"/>
          <w:color w:val="000000"/>
          <w:lang w:val="en-GB"/>
        </w:rPr>
      </w:pPr>
      <w:r w:rsidRPr="00713AB4">
        <w:rPr>
          <w:rFonts w:ascii="Calibri" w:eastAsia="Arial" w:hAnsi="Calibri" w:cs="Calibri"/>
          <w:color w:val="000000"/>
          <w:lang w:val="en-GB"/>
        </w:rPr>
        <w:t>An application to the High Court for one or more of the following forms of relief, namely—</w:t>
      </w:r>
    </w:p>
    <w:p w14:paraId="264AD571" w14:textId="77777777" w:rsidR="00152920" w:rsidRPr="00713AB4" w:rsidRDefault="00152920">
      <w:pPr>
        <w:numPr>
          <w:ilvl w:val="0"/>
          <w:numId w:val="2"/>
        </w:numPr>
        <w:tabs>
          <w:tab w:val="clear" w:pos="360"/>
          <w:tab w:val="left" w:pos="2160"/>
        </w:tabs>
        <w:spacing w:after="240" w:line="360" w:lineRule="auto"/>
        <w:ind w:left="2160" w:right="85" w:hanging="360"/>
        <w:jc w:val="both"/>
        <w:textAlignment w:val="baseline"/>
        <w:rPr>
          <w:rFonts w:ascii="Calibri" w:eastAsia="Arial" w:hAnsi="Calibri" w:cs="Calibri"/>
          <w:color w:val="000000"/>
          <w:spacing w:val="-1"/>
          <w:lang w:val="en-GB"/>
        </w:rPr>
      </w:pPr>
      <w:r w:rsidRPr="00713AB4">
        <w:rPr>
          <w:rFonts w:ascii="Calibri" w:eastAsia="Arial" w:hAnsi="Calibri" w:cs="Calibri"/>
          <w:color w:val="000000"/>
          <w:spacing w:val="-1"/>
          <w:lang w:val="en-GB"/>
        </w:rPr>
        <w:t>a mandatory, prohibiting or quashing order;</w:t>
      </w:r>
    </w:p>
    <w:p w14:paraId="1FEB1AC2" w14:textId="77777777" w:rsidR="00152920" w:rsidRPr="00713AB4" w:rsidRDefault="00152920">
      <w:pPr>
        <w:numPr>
          <w:ilvl w:val="0"/>
          <w:numId w:val="2"/>
        </w:numPr>
        <w:tabs>
          <w:tab w:val="clear" w:pos="360"/>
          <w:tab w:val="left" w:pos="2160"/>
        </w:tabs>
        <w:spacing w:after="240" w:line="360" w:lineRule="auto"/>
        <w:ind w:left="2160" w:right="85" w:hanging="360"/>
        <w:jc w:val="both"/>
        <w:textAlignment w:val="baseline"/>
        <w:rPr>
          <w:rFonts w:ascii="Calibri" w:eastAsia="Arial" w:hAnsi="Calibri" w:cs="Calibri"/>
          <w:color w:val="000000"/>
          <w:lang w:val="en-GB"/>
        </w:rPr>
      </w:pPr>
      <w:r w:rsidRPr="00713AB4">
        <w:rPr>
          <w:rFonts w:ascii="Calibri" w:eastAsia="Arial" w:hAnsi="Calibri" w:cs="Calibri"/>
          <w:color w:val="000000"/>
          <w:lang w:val="en-GB"/>
        </w:rPr>
        <w:t>a declaration or injunction under subsection (2); or</w:t>
      </w:r>
    </w:p>
    <w:p w14:paraId="42569411" w14:textId="77777777" w:rsidR="0098704C" w:rsidRPr="00713AB4" w:rsidRDefault="00152920">
      <w:pPr>
        <w:numPr>
          <w:ilvl w:val="0"/>
          <w:numId w:val="2"/>
        </w:numPr>
        <w:tabs>
          <w:tab w:val="clear" w:pos="360"/>
          <w:tab w:val="left" w:pos="2160"/>
        </w:tabs>
        <w:spacing w:after="240" w:line="360" w:lineRule="auto"/>
        <w:ind w:left="2160" w:right="85" w:hanging="360"/>
        <w:jc w:val="both"/>
        <w:textAlignment w:val="baseline"/>
        <w:rPr>
          <w:rFonts w:ascii="Calibri" w:eastAsia="Arial" w:hAnsi="Calibri" w:cs="Calibri"/>
          <w:color w:val="000000"/>
          <w:lang w:val="en-GB"/>
        </w:rPr>
      </w:pPr>
      <w:r w:rsidRPr="00713AB4">
        <w:rPr>
          <w:rFonts w:ascii="Calibri" w:eastAsia="Arial" w:hAnsi="Calibri" w:cs="Calibri"/>
          <w:color w:val="000000"/>
          <w:lang w:val="en-GB"/>
        </w:rPr>
        <w:t>an injunction under section 30 restraining a person not entitled to do so from acting in an office to which that section applies</w:t>
      </w:r>
    </w:p>
    <w:p w14:paraId="196E3BA0" w14:textId="1106D1D1" w:rsidR="00152920" w:rsidRPr="00713AB4" w:rsidRDefault="00152920" w:rsidP="001B5346">
      <w:pPr>
        <w:tabs>
          <w:tab w:val="left" w:pos="360"/>
          <w:tab w:val="left" w:pos="2160"/>
        </w:tabs>
        <w:spacing w:after="240" w:line="360" w:lineRule="auto"/>
        <w:ind w:left="1800" w:right="85"/>
        <w:jc w:val="both"/>
        <w:textAlignment w:val="baseline"/>
        <w:rPr>
          <w:rFonts w:ascii="Calibri" w:eastAsia="Arial" w:hAnsi="Calibri" w:cs="Calibri"/>
          <w:color w:val="000000"/>
          <w:lang w:val="en-GB"/>
        </w:rPr>
      </w:pPr>
      <w:r w:rsidRPr="00713AB4">
        <w:rPr>
          <w:rFonts w:ascii="Calibri" w:eastAsia="Arial" w:hAnsi="Calibri" w:cs="Calibri"/>
          <w:color w:val="000000"/>
          <w:lang w:val="en-GB"/>
        </w:rPr>
        <w:t>shall be made in accordance with rules of court by a procedure to be known as an application for judicial review.</w:t>
      </w:r>
    </w:p>
    <w:p w14:paraId="1202F8DC" w14:textId="7CADFDB9" w:rsidR="00DD71D4"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To understand </w:t>
      </w:r>
      <w:r w:rsidR="00061CF9">
        <w:rPr>
          <w:rFonts w:ascii="Calibri" w:eastAsia="Arial" w:hAnsi="Calibri" w:cs="Calibri"/>
          <w:color w:val="000000"/>
          <w:sz w:val="24"/>
          <w:szCs w:val="24"/>
          <w:lang w:val="en-GB"/>
        </w:rPr>
        <w:t>s</w:t>
      </w:r>
      <w:r w:rsidRPr="00713AB4">
        <w:rPr>
          <w:rFonts w:ascii="Calibri" w:eastAsia="Arial" w:hAnsi="Calibri" w:cs="Calibri"/>
          <w:color w:val="000000"/>
          <w:sz w:val="24"/>
          <w:szCs w:val="24"/>
          <w:lang w:val="en-GB"/>
        </w:rPr>
        <w:t xml:space="preserve">ection 31(1), we will need to understand what powers the court has to grant relief on an application for judicial review. Judicial review remedies are considered in more detail at paragraphs </w:t>
      </w:r>
      <w:r w:rsidR="002B23BE" w:rsidRPr="00713AB4">
        <w:rPr>
          <w:rFonts w:ascii="Calibri" w:eastAsia="Arial" w:hAnsi="Calibri" w:cs="Calibri"/>
          <w:color w:val="000000"/>
          <w:sz w:val="24"/>
          <w:szCs w:val="24"/>
          <w:lang w:val="en-GB"/>
        </w:rPr>
        <w:t>61-86</w:t>
      </w:r>
      <w:r w:rsidR="00A907E7" w:rsidRPr="00713AB4">
        <w:rPr>
          <w:rFonts w:ascii="Calibri" w:eastAsia="Arial" w:hAnsi="Calibri" w:cs="Calibri"/>
          <w:color w:val="000000"/>
          <w:sz w:val="24"/>
          <w:szCs w:val="24"/>
          <w:lang w:val="en-GB"/>
        </w:rPr>
        <w:t xml:space="preserve"> </w:t>
      </w:r>
      <w:r w:rsidRPr="00713AB4">
        <w:rPr>
          <w:rFonts w:ascii="Calibri" w:eastAsia="Arial" w:hAnsi="Calibri" w:cs="Calibri"/>
          <w:color w:val="000000"/>
          <w:sz w:val="24"/>
          <w:szCs w:val="24"/>
          <w:lang w:val="en-GB"/>
        </w:rPr>
        <w:t>below.</w:t>
      </w:r>
    </w:p>
    <w:p w14:paraId="4B33E418" w14:textId="7D73628F"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themeColor="text1"/>
          <w:sz w:val="24"/>
          <w:szCs w:val="24"/>
          <w:lang w:val="en-GB"/>
        </w:rPr>
        <w:t>Section 31 of the Senior Courts Act 1981 read together with CPR54 and PDR54A (and the equivalent provisions relating to judicial review cases in the Upper Tribunal) together with Part 4 of the Criminal Justice and Courts Act 2015 (considered further below) contain much of the information about procedure that judicial review practitioners need to know.</w:t>
      </w:r>
    </w:p>
    <w:p w14:paraId="20C24D4E" w14:textId="77777777" w:rsidR="00152920" w:rsidRPr="00713AB4" w:rsidRDefault="00152920" w:rsidP="00E31A3C">
      <w:pPr>
        <w:spacing w:after="240" w:line="360" w:lineRule="auto"/>
        <w:ind w:left="357" w:right="85" w:firstLine="363"/>
        <w:jc w:val="both"/>
        <w:textAlignment w:val="baseline"/>
        <w:rPr>
          <w:rFonts w:ascii="Calibri" w:eastAsia="Arial" w:hAnsi="Calibri" w:cs="Calibri"/>
          <w:b/>
          <w:color w:val="000000"/>
          <w:sz w:val="24"/>
          <w:szCs w:val="24"/>
          <w:lang w:val="en-GB"/>
        </w:rPr>
      </w:pPr>
      <w:r w:rsidRPr="00713AB4">
        <w:rPr>
          <w:rFonts w:ascii="Calibri" w:eastAsia="Arial" w:hAnsi="Calibri" w:cs="Calibri"/>
          <w:b/>
          <w:color w:val="000000"/>
          <w:sz w:val="24"/>
          <w:szCs w:val="24"/>
          <w:lang w:val="en-GB"/>
        </w:rPr>
        <w:t>Some preliminary concepts</w:t>
      </w:r>
    </w:p>
    <w:p w14:paraId="591C61FB" w14:textId="77777777" w:rsidR="00152920" w:rsidRPr="00713AB4" w:rsidRDefault="00152920" w:rsidP="00740ABB">
      <w:pPr>
        <w:tabs>
          <w:tab w:val="left" w:pos="360"/>
          <w:tab w:val="left" w:pos="1512"/>
        </w:tabs>
        <w:spacing w:after="240" w:line="360" w:lineRule="auto"/>
        <w:ind w:left="357" w:right="85" w:firstLine="363"/>
        <w:jc w:val="both"/>
        <w:textAlignment w:val="baseline"/>
        <w:rPr>
          <w:rFonts w:ascii="Calibri" w:eastAsia="Arial" w:hAnsi="Calibri" w:cs="Calibri"/>
          <w:i/>
          <w:iCs/>
          <w:color w:val="000000"/>
          <w:spacing w:val="-2"/>
          <w:sz w:val="24"/>
          <w:szCs w:val="24"/>
          <w:lang w:val="en-GB"/>
        </w:rPr>
      </w:pPr>
      <w:r w:rsidRPr="00713AB4">
        <w:rPr>
          <w:rFonts w:ascii="Calibri" w:eastAsia="Arial" w:hAnsi="Calibri" w:cs="Calibri"/>
          <w:i/>
          <w:iCs/>
          <w:color w:val="000000"/>
          <w:spacing w:val="-2"/>
          <w:sz w:val="24"/>
          <w:szCs w:val="24"/>
          <w:lang w:val="en-GB"/>
        </w:rPr>
        <w:t>Sources of law</w:t>
      </w:r>
    </w:p>
    <w:p w14:paraId="30E7C050" w14:textId="77777777"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pacing w:val="-1"/>
          <w:sz w:val="24"/>
          <w:szCs w:val="24"/>
          <w:lang w:val="en-GB"/>
        </w:rPr>
        <w:t xml:space="preserve">Over time, public law has developed into a large and varied body of jurisprudence that applies across </w:t>
      </w:r>
      <w:proofErr w:type="gramStart"/>
      <w:r w:rsidRPr="00713AB4">
        <w:rPr>
          <w:rFonts w:ascii="Calibri" w:eastAsia="Arial" w:hAnsi="Calibri" w:cs="Calibri"/>
          <w:color w:val="000000"/>
          <w:spacing w:val="-1"/>
          <w:sz w:val="24"/>
          <w:szCs w:val="24"/>
          <w:lang w:val="en-GB"/>
        </w:rPr>
        <w:t>a number of</w:t>
      </w:r>
      <w:proofErr w:type="gramEnd"/>
      <w:r w:rsidRPr="00713AB4">
        <w:rPr>
          <w:rFonts w:ascii="Calibri" w:eastAsia="Arial" w:hAnsi="Calibri" w:cs="Calibri"/>
          <w:color w:val="000000"/>
          <w:spacing w:val="-1"/>
          <w:sz w:val="24"/>
          <w:szCs w:val="24"/>
          <w:lang w:val="en-GB"/>
        </w:rPr>
        <w:t xml:space="preserve"> areas, including education, immigration, prison, housing, community care and welfare benefits. In every judicial review case, it will be necessary </w:t>
      </w:r>
      <w:r w:rsidRPr="00713AB4">
        <w:rPr>
          <w:rFonts w:ascii="Calibri" w:eastAsia="Arial" w:hAnsi="Calibri" w:cs="Calibri"/>
          <w:color w:val="000000"/>
          <w:spacing w:val="-1"/>
          <w:sz w:val="24"/>
          <w:szCs w:val="24"/>
          <w:lang w:val="en-GB"/>
        </w:rPr>
        <w:lastRenderedPageBreak/>
        <w:t xml:space="preserve">to consider and identify the source of the </w:t>
      </w:r>
      <w:r w:rsidRPr="00713AB4">
        <w:rPr>
          <w:rFonts w:ascii="Calibri" w:eastAsia="Arial" w:hAnsi="Calibri" w:cs="Calibri"/>
          <w:color w:val="000000"/>
          <w:sz w:val="24"/>
          <w:szCs w:val="24"/>
          <w:lang w:val="en-GB"/>
        </w:rPr>
        <w:t>public</w:t>
      </w:r>
      <w:r w:rsidRPr="00713AB4">
        <w:rPr>
          <w:rFonts w:ascii="Calibri" w:eastAsia="Arial" w:hAnsi="Calibri" w:cs="Calibri"/>
          <w:color w:val="000000"/>
          <w:spacing w:val="-1"/>
          <w:sz w:val="24"/>
          <w:szCs w:val="24"/>
          <w:lang w:val="en-GB"/>
        </w:rPr>
        <w:t xml:space="preserve"> body’s authority to act in the way that it has acted. In English law there are </w:t>
      </w:r>
      <w:proofErr w:type="gramStart"/>
      <w:r w:rsidRPr="00713AB4">
        <w:rPr>
          <w:rFonts w:ascii="Calibri" w:eastAsia="Arial" w:hAnsi="Calibri" w:cs="Calibri"/>
          <w:color w:val="000000"/>
          <w:spacing w:val="-1"/>
          <w:sz w:val="24"/>
          <w:szCs w:val="24"/>
          <w:lang w:val="en-GB"/>
        </w:rPr>
        <w:t>a number of</w:t>
      </w:r>
      <w:proofErr w:type="gramEnd"/>
      <w:r w:rsidRPr="00713AB4">
        <w:rPr>
          <w:rFonts w:ascii="Calibri" w:eastAsia="Arial" w:hAnsi="Calibri" w:cs="Calibri"/>
          <w:color w:val="000000"/>
          <w:spacing w:val="-1"/>
          <w:sz w:val="24"/>
          <w:szCs w:val="24"/>
          <w:lang w:val="en-GB"/>
        </w:rPr>
        <w:t xml:space="preserve"> types of law that give public bodies the authority to act in a certain way. These are:</w:t>
      </w:r>
    </w:p>
    <w:p w14:paraId="45C986A4" w14:textId="145EFB2C" w:rsidR="00152920" w:rsidRPr="00713AB4" w:rsidRDefault="00152920">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Primary legislation, i.e. an </w:t>
      </w:r>
      <w:r w:rsidR="001E26EB" w:rsidRPr="00713AB4">
        <w:rPr>
          <w:rFonts w:ascii="Calibri" w:eastAsia="Arial" w:hAnsi="Calibri" w:cs="Calibri"/>
          <w:color w:val="000000"/>
          <w:sz w:val="24"/>
          <w:szCs w:val="24"/>
          <w:lang w:val="en-GB"/>
        </w:rPr>
        <w:t>A</w:t>
      </w:r>
      <w:r w:rsidRPr="00713AB4">
        <w:rPr>
          <w:rFonts w:ascii="Calibri" w:eastAsia="Arial" w:hAnsi="Calibri" w:cs="Calibri"/>
          <w:color w:val="000000"/>
          <w:sz w:val="24"/>
          <w:szCs w:val="24"/>
          <w:lang w:val="en-GB"/>
        </w:rPr>
        <w:t>ct of Parliament;</w:t>
      </w:r>
    </w:p>
    <w:p w14:paraId="5F3F29A7" w14:textId="77777777" w:rsidR="00152920" w:rsidRPr="00713AB4" w:rsidRDefault="00152920">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Secondary legislation, such as regulations or directions;</w:t>
      </w:r>
    </w:p>
    <w:p w14:paraId="152DD0F9" w14:textId="77777777" w:rsidR="00152920" w:rsidRPr="00713AB4" w:rsidRDefault="00152920">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Common law, meaning the rules that the courts have developed over time;</w:t>
      </w:r>
    </w:p>
    <w:p w14:paraId="19B6AA1D" w14:textId="0C7D74D4" w:rsidR="00152920" w:rsidRPr="00713AB4" w:rsidRDefault="00B44860" w:rsidP="4859963C">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lang w:val="en-GB"/>
        </w:rPr>
      </w:pPr>
      <w:r w:rsidRPr="00713AB4">
        <w:rPr>
          <w:rFonts w:ascii="Calibri" w:eastAsia="Arial" w:hAnsi="Calibri" w:cs="Calibri"/>
          <w:color w:val="000000" w:themeColor="text1"/>
          <w:sz w:val="24"/>
          <w:szCs w:val="24"/>
          <w:lang w:val="en-GB"/>
        </w:rPr>
        <w:t xml:space="preserve">Assimilated </w:t>
      </w:r>
      <w:r w:rsidR="00152920" w:rsidRPr="00713AB4">
        <w:rPr>
          <w:rFonts w:ascii="Calibri" w:eastAsia="Arial" w:hAnsi="Calibri" w:cs="Calibri"/>
          <w:color w:val="000000" w:themeColor="text1"/>
          <w:sz w:val="24"/>
          <w:szCs w:val="24"/>
          <w:lang w:val="en-GB"/>
        </w:rPr>
        <w:t xml:space="preserve">European Union </w:t>
      </w:r>
      <w:r w:rsidR="00152920" w:rsidRPr="00713AB4">
        <w:rPr>
          <w:rFonts w:ascii="Calibri" w:eastAsia="Arial" w:hAnsi="Calibri" w:cs="Calibri"/>
          <w:color w:val="000000"/>
          <w:sz w:val="24"/>
          <w:szCs w:val="24"/>
          <w:lang w:val="en-GB"/>
        </w:rPr>
        <w:t>law</w:t>
      </w:r>
      <w:r w:rsidR="20E9D1BF" w:rsidRPr="00713AB4">
        <w:rPr>
          <w:rFonts w:ascii="Calibri" w:eastAsia="Arial" w:hAnsi="Calibri" w:cs="Calibri"/>
          <w:color w:val="000000" w:themeColor="text1"/>
          <w:sz w:val="24"/>
          <w:szCs w:val="24"/>
          <w:lang w:val="en-GB"/>
        </w:rPr>
        <w:t xml:space="preserve"> (albeit to a much lesser extent following Brexit – see the European (Withdrawal) Act 2018 (as amended)</w:t>
      </w:r>
      <w:r w:rsidR="00061CF9">
        <w:rPr>
          <w:rFonts w:ascii="Calibri" w:eastAsia="Arial" w:hAnsi="Calibri" w:cs="Calibri"/>
          <w:color w:val="000000" w:themeColor="text1"/>
          <w:sz w:val="24"/>
          <w:szCs w:val="24"/>
          <w:lang w:val="en-GB"/>
        </w:rPr>
        <w:t>)</w:t>
      </w:r>
      <w:r w:rsidR="00152920" w:rsidRPr="00713AB4">
        <w:rPr>
          <w:rFonts w:ascii="Calibri" w:eastAsia="Arial" w:hAnsi="Calibri" w:cs="Calibri"/>
          <w:color w:val="000000" w:themeColor="text1"/>
          <w:sz w:val="24"/>
          <w:szCs w:val="24"/>
          <w:lang w:val="en-GB"/>
        </w:rPr>
        <w:t>;</w:t>
      </w:r>
    </w:p>
    <w:p w14:paraId="0FA8E338" w14:textId="77777777" w:rsidR="00152920" w:rsidRPr="00713AB4" w:rsidRDefault="00152920">
      <w:pPr>
        <w:pStyle w:val="ListParagraph"/>
        <w:numPr>
          <w:ilvl w:val="0"/>
          <w:numId w:val="16"/>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Human rights law.</w:t>
      </w:r>
    </w:p>
    <w:p w14:paraId="5D219629" w14:textId="77777777" w:rsidR="00152920" w:rsidRPr="00713AB4" w:rsidRDefault="00152920" w:rsidP="00740ABB">
      <w:pPr>
        <w:tabs>
          <w:tab w:val="left" w:pos="360"/>
          <w:tab w:val="left" w:pos="1512"/>
        </w:tabs>
        <w:spacing w:after="240" w:line="360" w:lineRule="auto"/>
        <w:ind w:left="357" w:right="85" w:firstLine="363"/>
        <w:jc w:val="both"/>
        <w:textAlignment w:val="baseline"/>
        <w:rPr>
          <w:rFonts w:ascii="Calibri" w:eastAsia="Arial" w:hAnsi="Calibri" w:cs="Calibri"/>
          <w:i/>
          <w:iCs/>
          <w:color w:val="000000"/>
          <w:spacing w:val="-2"/>
          <w:sz w:val="24"/>
          <w:szCs w:val="24"/>
          <w:lang w:val="en-GB"/>
        </w:rPr>
      </w:pPr>
      <w:r w:rsidRPr="00713AB4">
        <w:rPr>
          <w:rFonts w:ascii="Calibri" w:eastAsia="Arial" w:hAnsi="Calibri" w:cs="Calibri"/>
          <w:i/>
          <w:iCs/>
          <w:color w:val="000000"/>
          <w:spacing w:val="-2"/>
          <w:sz w:val="24"/>
          <w:szCs w:val="24"/>
          <w:lang w:val="en-GB"/>
        </w:rPr>
        <w:t xml:space="preserve">The distinction between law and guidance </w:t>
      </w:r>
    </w:p>
    <w:p w14:paraId="014FD709" w14:textId="61AEF7A5" w:rsidR="0053561C" w:rsidRPr="00713AB4" w:rsidRDefault="00152920" w:rsidP="00953860">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When considering the source of the public body’s authority to act, it is important to understand the difference between law and guidance. Put simply, guidance is produced to tell a body how it should act, unless there are good reasons for not acting that way. This can be contrasted with law, which dictate</w:t>
      </w:r>
      <w:r w:rsidR="00E87E9A" w:rsidRPr="00713AB4">
        <w:rPr>
          <w:rFonts w:ascii="Calibri" w:eastAsia="Arial" w:hAnsi="Calibri" w:cs="Calibri"/>
          <w:color w:val="000000"/>
          <w:sz w:val="24"/>
          <w:szCs w:val="24"/>
          <w:lang w:val="en-GB"/>
        </w:rPr>
        <w:t>s</w:t>
      </w:r>
      <w:r w:rsidRPr="00713AB4">
        <w:rPr>
          <w:rFonts w:ascii="Calibri" w:eastAsia="Arial" w:hAnsi="Calibri" w:cs="Calibri"/>
          <w:color w:val="000000"/>
          <w:sz w:val="24"/>
          <w:szCs w:val="24"/>
          <w:lang w:val="en-GB"/>
        </w:rPr>
        <w:t xml:space="preserve"> how a body must act. This means that there will be circumstances where a body can lawfully say that it has decided not to follow guidance for a good reason, but it can never say that it has decided not to follow the law, good reason or not.</w:t>
      </w:r>
      <w:r w:rsidR="00953860">
        <w:rPr>
          <w:rFonts w:ascii="Calibri" w:eastAsia="Arial" w:hAnsi="Calibri" w:cs="Calibri"/>
          <w:color w:val="000000"/>
          <w:sz w:val="24"/>
          <w:szCs w:val="24"/>
          <w:lang w:val="en-GB"/>
        </w:rPr>
        <w:t xml:space="preserve"> </w:t>
      </w:r>
      <w:r w:rsidR="0053561C" w:rsidRPr="00713AB4">
        <w:rPr>
          <w:rFonts w:ascii="Calibri" w:eastAsia="Arial" w:hAnsi="Calibri" w:cs="Calibri"/>
          <w:color w:val="000000"/>
          <w:sz w:val="24"/>
          <w:szCs w:val="24"/>
          <w:lang w:val="en-GB"/>
        </w:rPr>
        <w:t>Prisons are a good example here – lots of Prison Service Instructions</w:t>
      </w:r>
      <w:r w:rsidR="0087439F">
        <w:rPr>
          <w:rFonts w:ascii="Calibri" w:eastAsia="Arial" w:hAnsi="Calibri" w:cs="Calibri"/>
          <w:color w:val="000000"/>
          <w:sz w:val="24"/>
          <w:szCs w:val="24"/>
          <w:lang w:val="en-GB"/>
        </w:rPr>
        <w:t xml:space="preserve"> (</w:t>
      </w:r>
      <w:r w:rsidR="0053561C" w:rsidRPr="00713AB4">
        <w:rPr>
          <w:rFonts w:ascii="Calibri" w:eastAsia="Arial" w:hAnsi="Calibri" w:cs="Calibri"/>
          <w:color w:val="000000"/>
          <w:sz w:val="24"/>
          <w:szCs w:val="24"/>
          <w:lang w:val="en-GB"/>
        </w:rPr>
        <w:t>PSIs</w:t>
      </w:r>
      <w:r w:rsidR="0087439F">
        <w:rPr>
          <w:rFonts w:ascii="Calibri" w:eastAsia="Arial" w:hAnsi="Calibri" w:cs="Calibri"/>
          <w:color w:val="000000"/>
          <w:sz w:val="24"/>
          <w:szCs w:val="24"/>
          <w:lang w:val="en-GB"/>
        </w:rPr>
        <w:t>)</w:t>
      </w:r>
      <w:r w:rsidR="0053561C" w:rsidRPr="00713AB4">
        <w:rPr>
          <w:rFonts w:ascii="Calibri" w:eastAsia="Arial" w:hAnsi="Calibri" w:cs="Calibri"/>
          <w:color w:val="000000"/>
          <w:sz w:val="24"/>
          <w:szCs w:val="24"/>
          <w:lang w:val="en-GB"/>
        </w:rPr>
        <w:t xml:space="preserve"> which offer guidance rather than law and can be more difficult to challenge for that reason. </w:t>
      </w:r>
    </w:p>
    <w:p w14:paraId="1B41430B" w14:textId="364AA6FB" w:rsidR="00152920" w:rsidRPr="00713AB4" w:rsidRDefault="00152920" w:rsidP="00740ABB">
      <w:pPr>
        <w:tabs>
          <w:tab w:val="left" w:pos="360"/>
          <w:tab w:val="left" w:pos="1512"/>
        </w:tabs>
        <w:spacing w:after="240" w:line="360" w:lineRule="auto"/>
        <w:ind w:left="357" w:right="85" w:firstLine="363"/>
        <w:jc w:val="both"/>
        <w:textAlignment w:val="baseline"/>
        <w:rPr>
          <w:rFonts w:ascii="Calibri" w:eastAsia="Arial" w:hAnsi="Calibri" w:cs="Calibri"/>
          <w:i/>
          <w:iCs/>
          <w:color w:val="000000"/>
          <w:sz w:val="24"/>
          <w:szCs w:val="24"/>
          <w:lang w:val="en-GB"/>
        </w:rPr>
      </w:pPr>
      <w:r w:rsidRPr="00713AB4">
        <w:rPr>
          <w:rFonts w:ascii="Calibri" w:eastAsia="Arial" w:hAnsi="Calibri" w:cs="Calibri"/>
          <w:i/>
          <w:iCs/>
          <w:color w:val="000000"/>
          <w:spacing w:val="-2"/>
          <w:sz w:val="24"/>
          <w:szCs w:val="24"/>
          <w:lang w:val="en-GB"/>
        </w:rPr>
        <w:t>Powers</w:t>
      </w:r>
      <w:r w:rsidRPr="00713AB4">
        <w:rPr>
          <w:rFonts w:ascii="Calibri" w:eastAsia="Arial" w:hAnsi="Calibri" w:cs="Calibri"/>
          <w:i/>
          <w:iCs/>
          <w:color w:val="000000"/>
          <w:spacing w:val="-3"/>
          <w:sz w:val="24"/>
          <w:szCs w:val="24"/>
          <w:lang w:val="en-GB"/>
        </w:rPr>
        <w:t xml:space="preserve"> </w:t>
      </w:r>
      <w:r w:rsidRPr="00713AB4">
        <w:rPr>
          <w:rFonts w:ascii="Calibri" w:eastAsia="Arial" w:hAnsi="Calibri" w:cs="Calibri"/>
          <w:i/>
          <w:iCs/>
          <w:color w:val="000000"/>
          <w:spacing w:val="-2"/>
          <w:sz w:val="24"/>
          <w:szCs w:val="24"/>
          <w:lang w:val="en-GB"/>
        </w:rPr>
        <w:t>and</w:t>
      </w:r>
      <w:r w:rsidRPr="00713AB4">
        <w:rPr>
          <w:rFonts w:ascii="Calibri" w:eastAsia="Arial" w:hAnsi="Calibri" w:cs="Calibri"/>
          <w:i/>
          <w:iCs/>
          <w:color w:val="000000"/>
          <w:spacing w:val="-3"/>
          <w:sz w:val="24"/>
          <w:szCs w:val="24"/>
          <w:lang w:val="en-GB"/>
        </w:rPr>
        <w:t xml:space="preserve"> duties </w:t>
      </w:r>
    </w:p>
    <w:p w14:paraId="52A8770C" w14:textId="043296E2" w:rsidR="00022C9B"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pacing w:val="-1"/>
          <w:sz w:val="24"/>
          <w:szCs w:val="24"/>
          <w:lang w:val="en-GB"/>
        </w:rPr>
        <w:t xml:space="preserve">In analysing the nature of the authority that a public body purports to be acting under, it is important to distinguish between powers and duties. Sometimes the applicable law places a public body under a duty to act in a particular way. This means that they </w:t>
      </w:r>
      <w:r w:rsidR="006C530E" w:rsidRPr="00713AB4">
        <w:rPr>
          <w:rFonts w:ascii="Calibri" w:eastAsia="Arial" w:hAnsi="Calibri" w:cs="Calibri"/>
          <w:color w:val="000000"/>
          <w:spacing w:val="-1"/>
          <w:sz w:val="24"/>
          <w:szCs w:val="24"/>
          <w:lang w:val="en-GB"/>
        </w:rPr>
        <w:t>must</w:t>
      </w:r>
      <w:r w:rsidRPr="00713AB4">
        <w:rPr>
          <w:rFonts w:ascii="Calibri" w:eastAsia="Arial" w:hAnsi="Calibri" w:cs="Calibri"/>
          <w:color w:val="000000"/>
          <w:spacing w:val="-1"/>
          <w:sz w:val="24"/>
          <w:szCs w:val="24"/>
          <w:lang w:val="en-GB"/>
        </w:rPr>
        <w:t xml:space="preserve"> act in that way. On other occasions</w:t>
      </w:r>
      <w:r w:rsidR="0070544B" w:rsidRPr="00713AB4">
        <w:rPr>
          <w:rFonts w:ascii="Calibri" w:eastAsia="Arial" w:hAnsi="Calibri" w:cs="Calibri"/>
          <w:color w:val="000000"/>
          <w:spacing w:val="-1"/>
          <w:sz w:val="24"/>
          <w:szCs w:val="24"/>
          <w:lang w:val="en-GB"/>
        </w:rPr>
        <w:t xml:space="preserve"> </w:t>
      </w:r>
      <w:r w:rsidRPr="00713AB4">
        <w:rPr>
          <w:rFonts w:ascii="Calibri" w:eastAsia="Arial" w:hAnsi="Calibri" w:cs="Calibri"/>
          <w:color w:val="000000"/>
          <w:sz w:val="24"/>
          <w:szCs w:val="24"/>
          <w:lang w:val="en-GB"/>
        </w:rPr>
        <w:t xml:space="preserve">the applicable law gives a public body a power to act in a particular way, often referred to as a “discretion”. This means that the public body </w:t>
      </w:r>
      <w:r w:rsidR="00331A65" w:rsidRPr="00713AB4">
        <w:rPr>
          <w:rFonts w:ascii="Calibri" w:eastAsia="Arial" w:hAnsi="Calibri" w:cs="Calibri"/>
          <w:color w:val="000000"/>
          <w:sz w:val="24"/>
          <w:szCs w:val="24"/>
          <w:lang w:val="en-GB"/>
        </w:rPr>
        <w:t xml:space="preserve">should consider its discretion but </w:t>
      </w:r>
      <w:r w:rsidR="00966355" w:rsidRPr="00713AB4">
        <w:rPr>
          <w:rFonts w:ascii="Calibri" w:eastAsia="Arial" w:hAnsi="Calibri" w:cs="Calibri"/>
          <w:color w:val="000000"/>
          <w:sz w:val="24"/>
          <w:szCs w:val="24"/>
          <w:lang w:val="en-GB"/>
        </w:rPr>
        <w:t>is</w:t>
      </w:r>
      <w:r w:rsidR="00331A65" w:rsidRPr="00713AB4">
        <w:rPr>
          <w:rFonts w:ascii="Calibri" w:eastAsia="Arial" w:hAnsi="Calibri" w:cs="Calibri"/>
          <w:color w:val="000000"/>
          <w:sz w:val="24"/>
          <w:szCs w:val="24"/>
          <w:lang w:val="en-GB"/>
        </w:rPr>
        <w:t xml:space="preserve"> not </w:t>
      </w:r>
      <w:r w:rsidRPr="00713AB4">
        <w:rPr>
          <w:rFonts w:ascii="Calibri" w:eastAsia="Arial" w:hAnsi="Calibri" w:cs="Calibri"/>
          <w:color w:val="000000"/>
          <w:sz w:val="24"/>
          <w:szCs w:val="24"/>
          <w:lang w:val="en-GB"/>
        </w:rPr>
        <w:t>obliged to</w:t>
      </w:r>
      <w:r w:rsidR="00331A65" w:rsidRPr="00713AB4">
        <w:rPr>
          <w:rFonts w:ascii="Calibri" w:eastAsia="Arial" w:hAnsi="Calibri" w:cs="Calibri"/>
          <w:color w:val="000000"/>
          <w:sz w:val="24"/>
          <w:szCs w:val="24"/>
          <w:lang w:val="en-GB"/>
        </w:rPr>
        <w:t xml:space="preserve"> use its discretion in all circumstances</w:t>
      </w:r>
      <w:r w:rsidRPr="00713AB4">
        <w:rPr>
          <w:rFonts w:ascii="Calibri" w:eastAsia="Arial" w:hAnsi="Calibri" w:cs="Calibri"/>
          <w:color w:val="000000"/>
          <w:sz w:val="24"/>
          <w:szCs w:val="24"/>
          <w:lang w:val="en-GB"/>
        </w:rPr>
        <w:t xml:space="preserve">. This difference is vital – it is often easier for a judicial review claimant </w:t>
      </w:r>
      <w:r w:rsidRPr="00713AB4">
        <w:rPr>
          <w:rFonts w:ascii="Calibri" w:eastAsia="Arial" w:hAnsi="Calibri" w:cs="Calibri"/>
          <w:color w:val="000000"/>
          <w:sz w:val="24"/>
          <w:szCs w:val="24"/>
          <w:lang w:val="en-GB"/>
        </w:rPr>
        <w:lastRenderedPageBreak/>
        <w:t>to show that a decision, act or omission is unlawful because the public body has not discharged its legal duty (e.g., where a local authority does not accommodate a child that it is duty bound to accommodate), than because the public body has exercised its discretion in an unlawful way (e.g., where a school has a power to expel a pupil for bullying and decides to exercise that power even though it does not have to).</w:t>
      </w:r>
    </w:p>
    <w:p w14:paraId="347C7A18" w14:textId="443F7CED" w:rsidR="00152920" w:rsidRPr="00713AB4" w:rsidRDefault="00152920" w:rsidP="00713AB4">
      <w:pPr>
        <w:keepNext/>
        <w:tabs>
          <w:tab w:val="left" w:pos="360"/>
          <w:tab w:val="left" w:pos="1512"/>
        </w:tabs>
        <w:spacing w:after="240" w:line="360" w:lineRule="auto"/>
        <w:ind w:left="357" w:right="85" w:firstLine="363"/>
        <w:jc w:val="both"/>
        <w:textAlignment w:val="baseline"/>
        <w:rPr>
          <w:rFonts w:ascii="Calibri" w:eastAsia="Arial" w:hAnsi="Calibri" w:cs="Calibri"/>
          <w:i/>
          <w:iCs/>
          <w:color w:val="000000"/>
          <w:sz w:val="24"/>
          <w:szCs w:val="24"/>
          <w:lang w:val="en-GB"/>
        </w:rPr>
      </w:pPr>
      <w:r w:rsidRPr="00713AB4">
        <w:rPr>
          <w:rFonts w:ascii="Calibri" w:eastAsia="Arial" w:hAnsi="Calibri" w:cs="Calibri"/>
          <w:i/>
          <w:iCs/>
          <w:color w:val="000000"/>
          <w:spacing w:val="-2"/>
          <w:sz w:val="24"/>
          <w:szCs w:val="24"/>
          <w:lang w:val="en-GB"/>
        </w:rPr>
        <w:t xml:space="preserve">Exercising public functions </w:t>
      </w:r>
    </w:p>
    <w:p w14:paraId="03802E94" w14:textId="6D8C2089" w:rsidR="00DD71D4"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We have already observed that judicial review is a means for remedying breaches of </w:t>
      </w:r>
      <w:r w:rsidR="002F3560" w:rsidRPr="00713AB4">
        <w:rPr>
          <w:rFonts w:ascii="Calibri" w:eastAsia="Arial" w:hAnsi="Calibri" w:cs="Calibri"/>
          <w:color w:val="000000"/>
          <w:sz w:val="24"/>
          <w:szCs w:val="24"/>
          <w:lang w:val="en-GB"/>
        </w:rPr>
        <w:t>p</w:t>
      </w:r>
      <w:r w:rsidRPr="00713AB4">
        <w:rPr>
          <w:rFonts w:ascii="Calibri" w:eastAsia="Arial" w:hAnsi="Calibri" w:cs="Calibri"/>
          <w:color w:val="000000"/>
          <w:sz w:val="24"/>
          <w:szCs w:val="24"/>
          <w:lang w:val="en-GB"/>
        </w:rPr>
        <w:t xml:space="preserve">ublic </w:t>
      </w:r>
      <w:r w:rsidR="002F3560" w:rsidRPr="00713AB4">
        <w:rPr>
          <w:rFonts w:ascii="Calibri" w:eastAsia="Arial" w:hAnsi="Calibri" w:cs="Calibri"/>
          <w:color w:val="000000"/>
          <w:sz w:val="24"/>
          <w:szCs w:val="24"/>
          <w:lang w:val="en-GB"/>
        </w:rPr>
        <w:t>l</w:t>
      </w:r>
      <w:r w:rsidRPr="00713AB4">
        <w:rPr>
          <w:rFonts w:ascii="Calibri" w:eastAsia="Arial" w:hAnsi="Calibri" w:cs="Calibri"/>
          <w:color w:val="000000"/>
          <w:sz w:val="24"/>
          <w:szCs w:val="24"/>
          <w:lang w:val="en-GB"/>
        </w:rPr>
        <w:t xml:space="preserve">aw, which governs the relationship between the individual and the </w:t>
      </w:r>
      <w:r w:rsidR="00FC6ED3" w:rsidRPr="00713AB4">
        <w:rPr>
          <w:rFonts w:ascii="Calibri" w:eastAsia="Arial" w:hAnsi="Calibri" w:cs="Calibri"/>
          <w:color w:val="000000"/>
          <w:sz w:val="24"/>
          <w:szCs w:val="24"/>
          <w:lang w:val="en-GB"/>
        </w:rPr>
        <w:t>s</w:t>
      </w:r>
      <w:r w:rsidRPr="00713AB4">
        <w:rPr>
          <w:rFonts w:ascii="Calibri" w:eastAsia="Arial" w:hAnsi="Calibri" w:cs="Calibri"/>
          <w:color w:val="000000"/>
          <w:sz w:val="24"/>
          <w:szCs w:val="24"/>
          <w:lang w:val="en-GB"/>
        </w:rPr>
        <w:t xml:space="preserve">tate. But it is not </w:t>
      </w:r>
      <w:r w:rsidRPr="00713AB4">
        <w:rPr>
          <w:rFonts w:ascii="Calibri" w:eastAsia="Arial" w:hAnsi="Calibri" w:cs="Calibri"/>
          <w:color w:val="000000"/>
          <w:sz w:val="24"/>
          <w:szCs w:val="24"/>
          <w:u w:val="single"/>
          <w:lang w:val="en-GB"/>
        </w:rPr>
        <w:t>all</w:t>
      </w:r>
      <w:r w:rsidRPr="00713AB4">
        <w:rPr>
          <w:rFonts w:ascii="Calibri" w:eastAsia="Arial" w:hAnsi="Calibri" w:cs="Calibri"/>
          <w:color w:val="000000"/>
          <w:sz w:val="24"/>
          <w:szCs w:val="24"/>
          <w:lang w:val="en-GB"/>
        </w:rPr>
        <w:t xml:space="preserve"> decisions of the </w:t>
      </w:r>
      <w:r w:rsidR="0060788C" w:rsidRPr="00713AB4">
        <w:rPr>
          <w:rFonts w:ascii="Calibri" w:eastAsia="Arial" w:hAnsi="Calibri" w:cs="Calibri"/>
          <w:color w:val="000000"/>
          <w:sz w:val="24"/>
          <w:szCs w:val="24"/>
          <w:lang w:val="en-GB"/>
        </w:rPr>
        <w:t>s</w:t>
      </w:r>
      <w:r w:rsidRPr="00713AB4">
        <w:rPr>
          <w:rFonts w:ascii="Calibri" w:eastAsia="Arial" w:hAnsi="Calibri" w:cs="Calibri"/>
          <w:color w:val="000000"/>
          <w:sz w:val="24"/>
          <w:szCs w:val="24"/>
          <w:lang w:val="en-GB"/>
        </w:rPr>
        <w:t xml:space="preserve">tate that are governed by </w:t>
      </w:r>
      <w:r w:rsidR="0060788C" w:rsidRPr="00713AB4">
        <w:rPr>
          <w:rFonts w:ascii="Calibri" w:eastAsia="Arial" w:hAnsi="Calibri" w:cs="Calibri"/>
          <w:color w:val="000000"/>
          <w:sz w:val="24"/>
          <w:szCs w:val="24"/>
          <w:lang w:val="en-GB"/>
        </w:rPr>
        <w:t>p</w:t>
      </w:r>
      <w:r w:rsidRPr="00713AB4">
        <w:rPr>
          <w:rFonts w:ascii="Calibri" w:eastAsia="Arial" w:hAnsi="Calibri" w:cs="Calibri"/>
          <w:color w:val="000000"/>
          <w:sz w:val="24"/>
          <w:szCs w:val="24"/>
          <w:lang w:val="en-GB"/>
        </w:rPr>
        <w:t xml:space="preserve">ublic </w:t>
      </w:r>
      <w:r w:rsidR="0060788C" w:rsidRPr="00713AB4">
        <w:rPr>
          <w:rFonts w:ascii="Calibri" w:eastAsia="Arial" w:hAnsi="Calibri" w:cs="Calibri"/>
          <w:color w:val="000000"/>
          <w:sz w:val="24"/>
          <w:szCs w:val="24"/>
          <w:lang w:val="en-GB"/>
        </w:rPr>
        <w:t>l</w:t>
      </w:r>
      <w:r w:rsidRPr="00713AB4">
        <w:rPr>
          <w:rFonts w:ascii="Calibri" w:eastAsia="Arial" w:hAnsi="Calibri" w:cs="Calibri"/>
          <w:color w:val="000000"/>
          <w:sz w:val="24"/>
          <w:szCs w:val="24"/>
          <w:lang w:val="en-GB"/>
        </w:rPr>
        <w:t xml:space="preserve">aw. For example, where the </w:t>
      </w:r>
      <w:r w:rsidR="00FC6ED3" w:rsidRPr="00713AB4">
        <w:rPr>
          <w:rFonts w:ascii="Calibri" w:eastAsia="Arial" w:hAnsi="Calibri" w:cs="Calibri"/>
          <w:color w:val="000000"/>
          <w:sz w:val="24"/>
          <w:szCs w:val="24"/>
          <w:lang w:val="en-GB"/>
        </w:rPr>
        <w:t>s</w:t>
      </w:r>
      <w:r w:rsidRPr="00713AB4">
        <w:rPr>
          <w:rFonts w:ascii="Calibri" w:eastAsia="Arial" w:hAnsi="Calibri" w:cs="Calibri"/>
          <w:color w:val="000000"/>
          <w:sz w:val="24"/>
          <w:szCs w:val="24"/>
          <w:lang w:val="en-GB"/>
        </w:rPr>
        <w:t xml:space="preserve">tate acts in its capacity as an individual like any other legal individual (e.g., as a landowner, or an employer) its actions may be governed by </w:t>
      </w:r>
      <w:r w:rsidR="00BD64FF" w:rsidRPr="00713AB4">
        <w:rPr>
          <w:rFonts w:ascii="Calibri" w:eastAsia="Arial" w:hAnsi="Calibri" w:cs="Calibri"/>
          <w:color w:val="000000"/>
          <w:sz w:val="24"/>
          <w:szCs w:val="24"/>
          <w:lang w:val="en-GB"/>
        </w:rPr>
        <w:t>p</w:t>
      </w:r>
      <w:r w:rsidRPr="00713AB4">
        <w:rPr>
          <w:rFonts w:ascii="Calibri" w:eastAsia="Arial" w:hAnsi="Calibri" w:cs="Calibri"/>
          <w:color w:val="000000"/>
          <w:sz w:val="24"/>
          <w:szCs w:val="24"/>
          <w:lang w:val="en-GB"/>
        </w:rPr>
        <w:t xml:space="preserve">rivate rather than </w:t>
      </w:r>
      <w:r w:rsidR="00BD64FF" w:rsidRPr="00713AB4">
        <w:rPr>
          <w:rFonts w:ascii="Calibri" w:eastAsia="Arial" w:hAnsi="Calibri" w:cs="Calibri"/>
          <w:color w:val="000000"/>
          <w:sz w:val="24"/>
          <w:szCs w:val="24"/>
          <w:lang w:val="en-GB"/>
        </w:rPr>
        <w:t>p</w:t>
      </w:r>
      <w:r w:rsidRPr="00713AB4">
        <w:rPr>
          <w:rFonts w:ascii="Calibri" w:eastAsia="Arial" w:hAnsi="Calibri" w:cs="Calibri"/>
          <w:color w:val="000000"/>
          <w:sz w:val="24"/>
          <w:szCs w:val="24"/>
          <w:lang w:val="en-GB"/>
        </w:rPr>
        <w:t xml:space="preserve">ublic </w:t>
      </w:r>
      <w:r w:rsidR="00BD64FF" w:rsidRPr="00713AB4">
        <w:rPr>
          <w:rFonts w:ascii="Calibri" w:eastAsia="Arial" w:hAnsi="Calibri" w:cs="Calibri"/>
          <w:color w:val="000000"/>
          <w:sz w:val="24"/>
          <w:szCs w:val="24"/>
          <w:lang w:val="en-GB"/>
        </w:rPr>
        <w:t>l</w:t>
      </w:r>
      <w:r w:rsidRPr="00713AB4">
        <w:rPr>
          <w:rFonts w:ascii="Calibri" w:eastAsia="Arial" w:hAnsi="Calibri" w:cs="Calibri"/>
          <w:color w:val="000000"/>
          <w:sz w:val="24"/>
          <w:szCs w:val="24"/>
          <w:lang w:val="en-GB"/>
        </w:rPr>
        <w:t xml:space="preserve">aw (for example, land law or employment law) which regards the dispute as a dispute between two individuals rather than a dispute between the </w:t>
      </w:r>
      <w:r w:rsidR="00BD64FF" w:rsidRPr="00713AB4">
        <w:rPr>
          <w:rFonts w:ascii="Calibri" w:eastAsia="Arial" w:hAnsi="Calibri" w:cs="Calibri"/>
          <w:color w:val="000000"/>
          <w:sz w:val="24"/>
          <w:szCs w:val="24"/>
          <w:lang w:val="en-GB"/>
        </w:rPr>
        <w:t>s</w:t>
      </w:r>
      <w:r w:rsidRPr="00713AB4">
        <w:rPr>
          <w:rFonts w:ascii="Calibri" w:eastAsia="Arial" w:hAnsi="Calibri" w:cs="Calibri"/>
          <w:color w:val="000000"/>
          <w:sz w:val="24"/>
          <w:szCs w:val="24"/>
          <w:lang w:val="en-GB"/>
        </w:rPr>
        <w:t xml:space="preserve">tate and the individual. In a case between two individuals governed by </w:t>
      </w:r>
      <w:r w:rsidR="00BD64FF" w:rsidRPr="00713AB4">
        <w:rPr>
          <w:rFonts w:ascii="Calibri" w:eastAsia="Arial" w:hAnsi="Calibri" w:cs="Calibri"/>
          <w:color w:val="000000"/>
          <w:sz w:val="24"/>
          <w:szCs w:val="24"/>
          <w:lang w:val="en-GB"/>
        </w:rPr>
        <w:t>p</w:t>
      </w:r>
      <w:r w:rsidRPr="00713AB4">
        <w:rPr>
          <w:rFonts w:ascii="Calibri" w:eastAsia="Arial" w:hAnsi="Calibri" w:cs="Calibri"/>
          <w:color w:val="000000"/>
          <w:sz w:val="24"/>
          <w:szCs w:val="24"/>
          <w:lang w:val="en-GB"/>
        </w:rPr>
        <w:t xml:space="preserve">rivate </w:t>
      </w:r>
      <w:r w:rsidR="00BD64FF" w:rsidRPr="00713AB4">
        <w:rPr>
          <w:rFonts w:ascii="Calibri" w:eastAsia="Arial" w:hAnsi="Calibri" w:cs="Calibri"/>
          <w:color w:val="000000"/>
          <w:sz w:val="24"/>
          <w:szCs w:val="24"/>
          <w:lang w:val="en-GB"/>
        </w:rPr>
        <w:t>l</w:t>
      </w:r>
      <w:r w:rsidRPr="00713AB4">
        <w:rPr>
          <w:rFonts w:ascii="Calibri" w:eastAsia="Arial" w:hAnsi="Calibri" w:cs="Calibri"/>
          <w:color w:val="000000"/>
          <w:sz w:val="24"/>
          <w:szCs w:val="24"/>
          <w:lang w:val="en-GB"/>
        </w:rPr>
        <w:t xml:space="preserve">aw, judicial review will not be available. </w:t>
      </w:r>
      <w:proofErr w:type="gramStart"/>
      <w:r w:rsidRPr="00713AB4">
        <w:rPr>
          <w:rFonts w:ascii="Calibri" w:eastAsia="Arial" w:hAnsi="Calibri" w:cs="Calibri"/>
          <w:color w:val="000000"/>
          <w:sz w:val="24"/>
          <w:szCs w:val="24"/>
          <w:lang w:val="en-GB"/>
        </w:rPr>
        <w:t>So</w:t>
      </w:r>
      <w:proofErr w:type="gramEnd"/>
      <w:r w:rsidRPr="00713AB4">
        <w:rPr>
          <w:rFonts w:ascii="Calibri" w:eastAsia="Arial" w:hAnsi="Calibri" w:cs="Calibri"/>
          <w:color w:val="000000"/>
          <w:sz w:val="24"/>
          <w:szCs w:val="24"/>
          <w:lang w:val="en-GB"/>
        </w:rPr>
        <w:t xml:space="preserve"> the definition in CPR</w:t>
      </w:r>
      <w:r w:rsidR="009B4539">
        <w:rPr>
          <w:rFonts w:ascii="Calibri" w:eastAsia="Arial" w:hAnsi="Calibri" w:cs="Calibri"/>
          <w:color w:val="000000"/>
          <w:sz w:val="24"/>
          <w:szCs w:val="24"/>
          <w:lang w:val="en-GB"/>
        </w:rPr>
        <w:t xml:space="preserve"> </w:t>
      </w:r>
      <w:r w:rsidRPr="00713AB4">
        <w:rPr>
          <w:rFonts w:ascii="Calibri" w:eastAsia="Arial" w:hAnsi="Calibri" w:cs="Calibri"/>
          <w:color w:val="000000"/>
          <w:sz w:val="24"/>
          <w:szCs w:val="24"/>
          <w:lang w:val="en-GB"/>
        </w:rPr>
        <w:t>54.1(</w:t>
      </w:r>
      <w:r w:rsidR="0070544B" w:rsidRPr="00713AB4">
        <w:rPr>
          <w:rFonts w:ascii="Calibri" w:eastAsia="Arial" w:hAnsi="Calibri" w:cs="Calibri"/>
          <w:color w:val="000000"/>
          <w:sz w:val="24"/>
          <w:szCs w:val="24"/>
          <w:lang w:val="en-GB"/>
        </w:rPr>
        <w:t xml:space="preserve">2) </w:t>
      </w:r>
      <w:r w:rsidRPr="00713AB4">
        <w:rPr>
          <w:rFonts w:ascii="Calibri" w:eastAsia="Arial" w:hAnsi="Calibri" w:cs="Calibri"/>
          <w:color w:val="000000"/>
          <w:sz w:val="24"/>
          <w:szCs w:val="24"/>
          <w:lang w:val="en-GB"/>
        </w:rPr>
        <w:t>makes it clear that judicial review only applies to challenges to enactments and decisions, acts or omissions “in relation to the exercise of a public function”.</w:t>
      </w:r>
    </w:p>
    <w:p w14:paraId="0F7FCB4F" w14:textId="52684B83" w:rsidR="006D4A0B" w:rsidRPr="00713AB4" w:rsidRDefault="006D4A0B" w:rsidP="00196D50">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Public functions include things like running prisons, hospitals and care homes policing, state education, border control, social security and taxation. </w:t>
      </w:r>
      <w:proofErr w:type="gramStart"/>
      <w:r w:rsidRPr="00713AB4">
        <w:rPr>
          <w:rFonts w:ascii="Calibri" w:eastAsia="Arial" w:hAnsi="Calibri" w:cs="Calibri"/>
          <w:color w:val="000000"/>
          <w:sz w:val="24"/>
          <w:szCs w:val="24"/>
          <w:lang w:val="en-GB"/>
        </w:rPr>
        <w:t>Usually</w:t>
      </w:r>
      <w:proofErr w:type="gramEnd"/>
      <w:r w:rsidRPr="00713AB4">
        <w:rPr>
          <w:rFonts w:ascii="Calibri" w:eastAsia="Arial" w:hAnsi="Calibri" w:cs="Calibri"/>
          <w:color w:val="000000"/>
          <w:sz w:val="24"/>
          <w:szCs w:val="24"/>
          <w:lang w:val="en-GB"/>
        </w:rPr>
        <w:t xml:space="preserve"> public functions will be carried out by state bodies; for example, the Department of Work and Pensions </w:t>
      </w:r>
      <w:proofErr w:type="gramStart"/>
      <w:r w:rsidRPr="00713AB4">
        <w:rPr>
          <w:rFonts w:ascii="Calibri" w:eastAsia="Arial" w:hAnsi="Calibri" w:cs="Calibri"/>
          <w:color w:val="000000"/>
          <w:sz w:val="24"/>
          <w:szCs w:val="24"/>
          <w:lang w:val="en-GB"/>
        </w:rPr>
        <w:t>is in charge of</w:t>
      </w:r>
      <w:proofErr w:type="gramEnd"/>
      <w:r w:rsidRPr="00713AB4">
        <w:rPr>
          <w:rFonts w:ascii="Calibri" w:eastAsia="Arial" w:hAnsi="Calibri" w:cs="Calibri"/>
          <w:color w:val="000000"/>
          <w:sz w:val="24"/>
          <w:szCs w:val="24"/>
          <w:lang w:val="en-GB"/>
        </w:rPr>
        <w:t xml:space="preserve"> welfare benefits. However, it is increasingly the case that these functions are ‘contracted out’ to private agencies which discharge them on the state’s behalf. An example of this is the Work Capability Assessment, by which eligibility for Employment Support Allowance is assessed, and which is carried out by a private company. However, because the administration of welfare benefits remains a public function, the private company is governed by </w:t>
      </w:r>
      <w:r w:rsidR="00AB1901" w:rsidRPr="00713AB4">
        <w:rPr>
          <w:rFonts w:ascii="Calibri" w:eastAsia="Arial" w:hAnsi="Calibri" w:cs="Calibri"/>
          <w:color w:val="000000"/>
          <w:sz w:val="24"/>
          <w:szCs w:val="24"/>
          <w:lang w:val="en-GB"/>
        </w:rPr>
        <w:t>p</w:t>
      </w:r>
      <w:r w:rsidRPr="00713AB4">
        <w:rPr>
          <w:rFonts w:ascii="Calibri" w:eastAsia="Arial" w:hAnsi="Calibri" w:cs="Calibri"/>
          <w:color w:val="000000"/>
          <w:sz w:val="24"/>
          <w:szCs w:val="24"/>
          <w:lang w:val="en-GB"/>
        </w:rPr>
        <w:t xml:space="preserve">ublic </w:t>
      </w:r>
      <w:r w:rsidR="00D23A50" w:rsidRPr="00713AB4">
        <w:rPr>
          <w:rFonts w:ascii="Calibri" w:eastAsia="Arial" w:hAnsi="Calibri" w:cs="Calibri"/>
          <w:color w:val="000000"/>
          <w:sz w:val="24"/>
          <w:szCs w:val="24"/>
          <w:lang w:val="en-GB"/>
        </w:rPr>
        <w:t>l</w:t>
      </w:r>
      <w:r w:rsidRPr="00713AB4">
        <w:rPr>
          <w:rFonts w:ascii="Calibri" w:eastAsia="Arial" w:hAnsi="Calibri" w:cs="Calibri"/>
          <w:color w:val="000000"/>
          <w:sz w:val="24"/>
          <w:szCs w:val="24"/>
          <w:lang w:val="en-GB"/>
        </w:rPr>
        <w:t>aw when it is discharging this function</w:t>
      </w:r>
      <w:r w:rsidRPr="00713AB4">
        <w:rPr>
          <w:rStyle w:val="FootnoteReference"/>
          <w:rFonts w:ascii="Calibri" w:eastAsia="Arial" w:hAnsi="Calibri" w:cs="Calibri"/>
          <w:color w:val="000000"/>
          <w:sz w:val="24"/>
          <w:szCs w:val="24"/>
          <w:lang w:val="en-GB"/>
        </w:rPr>
        <w:footnoteReference w:id="8"/>
      </w:r>
      <w:r w:rsidRPr="00713AB4">
        <w:rPr>
          <w:rFonts w:ascii="Calibri" w:eastAsia="Arial" w:hAnsi="Calibri" w:cs="Calibri"/>
          <w:color w:val="000000"/>
          <w:sz w:val="24"/>
          <w:szCs w:val="24"/>
          <w:lang w:val="en-GB"/>
        </w:rPr>
        <w:t>.</w:t>
      </w:r>
    </w:p>
    <w:p w14:paraId="019F0198" w14:textId="5DEDCB7F" w:rsidR="00152920" w:rsidRPr="00713AB4" w:rsidRDefault="00152920" w:rsidP="009A4954">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13AB4">
        <w:rPr>
          <w:rFonts w:ascii="Calibri" w:eastAsia="Arial" w:hAnsi="Calibri" w:cs="Calibri"/>
          <w:color w:val="000000"/>
          <w:spacing w:val="-1"/>
          <w:sz w:val="24"/>
          <w:szCs w:val="24"/>
          <w:lang w:val="en-GB"/>
        </w:rPr>
        <w:lastRenderedPageBreak/>
        <w:t>Whether the decision, act or omission that a judicial review claimant wishes to challenge was made “in the exercise of a public function” is therefore a crucial precondition to the claim’s success.</w:t>
      </w:r>
      <w:r w:rsidR="009A4954" w:rsidRPr="00713AB4">
        <w:rPr>
          <w:rFonts w:ascii="Calibri" w:eastAsia="Arial" w:hAnsi="Calibri" w:cs="Calibri"/>
          <w:color w:val="000000"/>
          <w:spacing w:val="-1"/>
          <w:sz w:val="24"/>
          <w:szCs w:val="24"/>
          <w:lang w:val="en-GB"/>
        </w:rPr>
        <w:t xml:space="preserve"> If the decision, act or omission was not made in the exercise of public functions, then judicial review will not be the appropriate remedy.</w:t>
      </w:r>
    </w:p>
    <w:p w14:paraId="5F7F0FAC" w14:textId="674036DA" w:rsidR="00DD71D4"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pacing w:val="-1"/>
          <w:sz w:val="24"/>
          <w:szCs w:val="24"/>
          <w:lang w:val="en-GB"/>
        </w:rPr>
        <w:t xml:space="preserve">In most cases that practitioners come across, it will be clear whether the body </w:t>
      </w:r>
      <w:r w:rsidRPr="00713AB4">
        <w:rPr>
          <w:rFonts w:ascii="Calibri" w:eastAsia="Arial" w:hAnsi="Calibri" w:cs="Calibri"/>
          <w:color w:val="000000"/>
          <w:sz w:val="24"/>
          <w:szCs w:val="24"/>
          <w:lang w:val="en-GB"/>
        </w:rPr>
        <w:t>making</w:t>
      </w:r>
      <w:r w:rsidRPr="00713AB4">
        <w:rPr>
          <w:rFonts w:ascii="Calibri" w:eastAsia="Arial" w:hAnsi="Calibri" w:cs="Calibri"/>
          <w:color w:val="000000"/>
          <w:spacing w:val="-1"/>
          <w:sz w:val="24"/>
          <w:szCs w:val="24"/>
          <w:lang w:val="en-GB"/>
        </w:rPr>
        <w:t xml:space="preserve"> the decision, act or omission that a claimant seeks to challenge did so in the exercise of a public function. For example, many immigration decisions are taken in the name of the Secretary of State for the Home</w:t>
      </w:r>
      <w:r w:rsidR="003012EA" w:rsidRPr="00713AB4">
        <w:rPr>
          <w:rFonts w:ascii="Calibri" w:eastAsia="Arial" w:hAnsi="Calibri" w:cs="Calibri"/>
          <w:color w:val="000000"/>
          <w:spacing w:val="-1"/>
          <w:sz w:val="24"/>
          <w:szCs w:val="24"/>
          <w:lang w:val="en-GB"/>
        </w:rPr>
        <w:t xml:space="preserve"> </w:t>
      </w:r>
      <w:proofErr w:type="gramStart"/>
      <w:r w:rsidRPr="00713AB4">
        <w:rPr>
          <w:rFonts w:ascii="Calibri" w:eastAsia="Arial" w:hAnsi="Calibri" w:cs="Calibri"/>
          <w:color w:val="000000"/>
          <w:sz w:val="24"/>
          <w:szCs w:val="24"/>
          <w:lang w:val="en-GB"/>
        </w:rPr>
        <w:t>Office</w:t>
      </w:r>
      <w:proofErr w:type="gramEnd"/>
      <w:r w:rsidRPr="00713AB4">
        <w:rPr>
          <w:rFonts w:ascii="Calibri" w:eastAsia="Arial" w:hAnsi="Calibri" w:cs="Calibri"/>
          <w:color w:val="000000"/>
          <w:sz w:val="24"/>
          <w:szCs w:val="24"/>
          <w:lang w:val="en-GB"/>
        </w:rPr>
        <w:t xml:space="preserve"> and many benefits decisions are taken in the name of the Secretary of State for Work and Pensions. However</w:t>
      </w:r>
      <w:r w:rsidR="0070544B" w:rsidRPr="00713AB4">
        <w:rPr>
          <w:rFonts w:ascii="Calibri" w:eastAsia="Arial" w:hAnsi="Calibri" w:cs="Calibri"/>
          <w:color w:val="000000"/>
          <w:sz w:val="24"/>
          <w:szCs w:val="24"/>
          <w:lang w:val="en-GB"/>
        </w:rPr>
        <w:t>,</w:t>
      </w:r>
      <w:r w:rsidRPr="00713AB4">
        <w:rPr>
          <w:rFonts w:ascii="Calibri" w:eastAsia="Arial" w:hAnsi="Calibri" w:cs="Calibri"/>
          <w:color w:val="000000"/>
          <w:sz w:val="24"/>
          <w:szCs w:val="24"/>
          <w:lang w:val="en-GB"/>
        </w:rPr>
        <w:t xml:space="preserve"> in some cases, it can be difficult to decide whether a decision, act or omission was made in the exercise of a public function (in which case a judicial review will in principle be available) or not.</w:t>
      </w:r>
    </w:p>
    <w:p w14:paraId="155E4957" w14:textId="2BCBA704"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Various tests have been developed by the courts </w:t>
      </w:r>
      <w:proofErr w:type="gramStart"/>
      <w:r w:rsidRPr="00713AB4">
        <w:rPr>
          <w:rFonts w:ascii="Calibri" w:eastAsia="Arial" w:hAnsi="Calibri" w:cs="Calibri"/>
          <w:color w:val="000000"/>
          <w:sz w:val="24"/>
          <w:szCs w:val="24"/>
          <w:lang w:val="en-GB"/>
        </w:rPr>
        <w:t>in order to</w:t>
      </w:r>
      <w:proofErr w:type="gramEnd"/>
      <w:r w:rsidRPr="00713AB4">
        <w:rPr>
          <w:rFonts w:ascii="Calibri" w:eastAsia="Arial" w:hAnsi="Calibri" w:cs="Calibri"/>
          <w:color w:val="000000"/>
          <w:sz w:val="24"/>
          <w:szCs w:val="24"/>
          <w:lang w:val="en-GB"/>
        </w:rPr>
        <w:t xml:space="preserve"> identify bodies which can be challenged by way of judicial review:</w:t>
      </w:r>
    </w:p>
    <w:p w14:paraId="5D30398A" w14:textId="00BE26A0" w:rsidR="00152920" w:rsidRPr="00713AB4" w:rsidRDefault="00152920">
      <w:pPr>
        <w:pStyle w:val="ListParagraph"/>
        <w:numPr>
          <w:ilvl w:val="0"/>
          <w:numId w:val="8"/>
        </w:numPr>
        <w:tabs>
          <w:tab w:val="left" w:pos="360"/>
          <w:tab w:val="left" w:pos="1512"/>
        </w:tabs>
        <w:spacing w:after="240" w:line="360" w:lineRule="auto"/>
        <w:ind w:left="1512"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‘source test’. If the source </w:t>
      </w:r>
      <w:r w:rsidR="004A705C" w:rsidRPr="00713AB4">
        <w:rPr>
          <w:rFonts w:ascii="Calibri" w:eastAsia="Arial" w:hAnsi="Calibri" w:cs="Calibri"/>
          <w:color w:val="000000"/>
          <w:sz w:val="24"/>
          <w:szCs w:val="24"/>
          <w:lang w:val="en-GB"/>
        </w:rPr>
        <w:t xml:space="preserve">of </w:t>
      </w:r>
      <w:r w:rsidRPr="00713AB4">
        <w:rPr>
          <w:rFonts w:ascii="Calibri" w:eastAsia="Arial" w:hAnsi="Calibri" w:cs="Calibri"/>
          <w:color w:val="000000"/>
          <w:sz w:val="24"/>
          <w:szCs w:val="24"/>
          <w:lang w:val="en-GB"/>
        </w:rPr>
        <w:t>the power that a body has exercised is statutory or prerogative then the body will generally be a public body, and its decisions will be made in the exercise of a public function for the purposes of judicial review.</w:t>
      </w:r>
    </w:p>
    <w:p w14:paraId="1E1C400C" w14:textId="35A1EB16" w:rsidR="00152920" w:rsidRPr="00713AB4" w:rsidRDefault="00152920">
      <w:pPr>
        <w:pStyle w:val="ListParagraph"/>
        <w:numPr>
          <w:ilvl w:val="0"/>
          <w:numId w:val="8"/>
        </w:numPr>
        <w:tabs>
          <w:tab w:val="left" w:pos="360"/>
          <w:tab w:val="left" w:pos="1584"/>
        </w:tabs>
        <w:spacing w:after="240" w:line="360" w:lineRule="auto"/>
        <w:ind w:left="1512"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If not, the ‘function test’ will be applied. There is considerable uncertainty as to how this test operates in practice. The courts have been unwilling to box themselves in with strict criteria. </w:t>
      </w:r>
      <w:r w:rsidR="009B4539">
        <w:rPr>
          <w:rFonts w:ascii="Calibri" w:eastAsia="Arial" w:hAnsi="Calibri" w:cs="Calibri"/>
          <w:color w:val="000000"/>
          <w:sz w:val="24"/>
          <w:szCs w:val="24"/>
          <w:lang w:val="en-GB"/>
        </w:rPr>
        <w:t>Dyson LJ</w:t>
      </w:r>
      <w:r w:rsidR="00241BED" w:rsidRPr="00713AB4">
        <w:rPr>
          <w:rFonts w:ascii="Calibri" w:eastAsia="Arial" w:hAnsi="Calibri" w:cs="Calibri"/>
          <w:color w:val="000000"/>
          <w:sz w:val="24"/>
          <w:szCs w:val="24"/>
          <w:lang w:val="en-GB"/>
        </w:rPr>
        <w:t xml:space="preserve"> said in</w:t>
      </w:r>
      <w:r w:rsidR="002B0817" w:rsidRPr="00713AB4">
        <w:rPr>
          <w:rFonts w:ascii="Calibri" w:eastAsia="Arial" w:hAnsi="Calibri" w:cs="Calibri"/>
          <w:color w:val="000000"/>
          <w:sz w:val="24"/>
          <w:szCs w:val="24"/>
          <w:lang w:val="en-GB"/>
        </w:rPr>
        <w:t xml:space="preserve"> this spirit in</w:t>
      </w:r>
      <w:r w:rsidR="00241BED" w:rsidRPr="00713AB4">
        <w:rPr>
          <w:rFonts w:ascii="Calibri" w:eastAsia="Arial" w:hAnsi="Calibri" w:cs="Calibri"/>
          <w:color w:val="000000"/>
          <w:sz w:val="24"/>
          <w:szCs w:val="24"/>
          <w:lang w:val="en-GB"/>
        </w:rPr>
        <w:t xml:space="preserve"> </w:t>
      </w:r>
      <w:r w:rsidR="00241BED" w:rsidRPr="00713AB4">
        <w:rPr>
          <w:rFonts w:ascii="Calibri" w:hAnsi="Calibri" w:cs="Calibri"/>
          <w:i/>
          <w:iCs/>
          <w:sz w:val="24"/>
          <w:szCs w:val="24"/>
          <w:lang w:val="en-GB"/>
        </w:rPr>
        <w:t>R (Beer t/a Hammer Trout Farm) v Hampshire Farmers’ Market Ltd</w:t>
      </w:r>
      <w:r w:rsidR="00241BED" w:rsidRPr="00713AB4">
        <w:rPr>
          <w:rFonts w:ascii="Calibri" w:hAnsi="Calibri" w:cs="Calibri"/>
          <w:sz w:val="24"/>
          <w:szCs w:val="24"/>
          <w:lang w:val="en-GB"/>
        </w:rPr>
        <w:t xml:space="preserve"> [2004] 1 WLR 233, at §16 that when considering ‘function’, the </w:t>
      </w:r>
      <w:r w:rsidR="000A7EAD">
        <w:rPr>
          <w:rFonts w:ascii="Calibri" w:hAnsi="Calibri" w:cs="Calibri"/>
          <w:sz w:val="24"/>
          <w:szCs w:val="24"/>
          <w:lang w:val="en-GB"/>
        </w:rPr>
        <w:t>c</w:t>
      </w:r>
      <w:r w:rsidR="00241BED" w:rsidRPr="00713AB4">
        <w:rPr>
          <w:rFonts w:ascii="Calibri" w:hAnsi="Calibri" w:cs="Calibri"/>
          <w:sz w:val="24"/>
          <w:szCs w:val="24"/>
          <w:lang w:val="en-GB"/>
        </w:rPr>
        <w:t xml:space="preserve">ourt will assess “whether the decision has a sufficient public law element, flavour or character to bring it within the purview of public law”. </w:t>
      </w:r>
      <w:r w:rsidRPr="00713AB4">
        <w:rPr>
          <w:rFonts w:ascii="Calibri" w:eastAsia="Arial" w:hAnsi="Calibri" w:cs="Calibri"/>
          <w:color w:val="000000"/>
          <w:sz w:val="24"/>
          <w:szCs w:val="24"/>
          <w:lang w:val="en-GB"/>
        </w:rPr>
        <w:t xml:space="preserve">Broadly, the test requires an examination of the nature of the power exercised by the body which is under challenge and consideration of </w:t>
      </w:r>
      <w:proofErr w:type="gramStart"/>
      <w:r w:rsidRPr="00713AB4">
        <w:rPr>
          <w:rFonts w:ascii="Calibri" w:eastAsia="Arial" w:hAnsi="Calibri" w:cs="Calibri"/>
          <w:color w:val="000000"/>
          <w:sz w:val="24"/>
          <w:szCs w:val="24"/>
          <w:lang w:val="en-GB"/>
        </w:rPr>
        <w:t>a number of</w:t>
      </w:r>
      <w:proofErr w:type="gramEnd"/>
      <w:r w:rsidRPr="00713AB4">
        <w:rPr>
          <w:rFonts w:ascii="Calibri" w:eastAsia="Arial" w:hAnsi="Calibri" w:cs="Calibri"/>
          <w:color w:val="000000"/>
          <w:sz w:val="24"/>
          <w:szCs w:val="24"/>
          <w:lang w:val="en-GB"/>
        </w:rPr>
        <w:t xml:space="preserve"> factors, such as:</w:t>
      </w:r>
    </w:p>
    <w:p w14:paraId="3CD1C8D4" w14:textId="77777777" w:rsidR="00152920" w:rsidRPr="00713AB4" w:rsidRDefault="00152920">
      <w:pPr>
        <w:pStyle w:val="ListParagraph"/>
        <w:numPr>
          <w:ilvl w:val="2"/>
          <w:numId w:val="9"/>
        </w:numPr>
        <w:tabs>
          <w:tab w:val="left" w:pos="360"/>
          <w:tab w:val="left" w:pos="2448"/>
        </w:tabs>
        <w:spacing w:after="240" w:line="360" w:lineRule="auto"/>
        <w:ind w:left="2232"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lastRenderedPageBreak/>
        <w:t>the greater the degree of statutory or governmental underpinning for the function, the more likely it will be a public function;</w:t>
      </w:r>
    </w:p>
    <w:p w14:paraId="571236E5" w14:textId="44402504" w:rsidR="00152920" w:rsidRPr="00713AB4" w:rsidRDefault="00152920">
      <w:pPr>
        <w:pStyle w:val="ListParagraph"/>
        <w:numPr>
          <w:ilvl w:val="2"/>
          <w:numId w:val="9"/>
        </w:numPr>
        <w:tabs>
          <w:tab w:val="left" w:pos="360"/>
          <w:tab w:val="left" w:pos="2448"/>
        </w:tabs>
        <w:spacing w:after="240" w:line="360" w:lineRule="auto"/>
        <w:ind w:left="2232"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‘but for’ test – would power be exercised directly by government, or by government agency if the body concerned did not do so? (This is often significant in relation to regulatory bodies, see </w:t>
      </w:r>
      <w:r w:rsidRPr="00713AB4">
        <w:rPr>
          <w:rFonts w:ascii="Calibri" w:eastAsia="Arial" w:hAnsi="Calibri" w:cs="Calibri"/>
          <w:i/>
          <w:color w:val="000000"/>
          <w:sz w:val="24"/>
          <w:szCs w:val="24"/>
          <w:lang w:val="en-GB"/>
        </w:rPr>
        <w:t xml:space="preserve">R v Advertising Standard Authority ex p The Insurance Services plc </w:t>
      </w:r>
      <w:r w:rsidRPr="00713AB4">
        <w:rPr>
          <w:rFonts w:ascii="Calibri" w:eastAsia="Arial" w:hAnsi="Calibri" w:cs="Calibri"/>
          <w:color w:val="000000"/>
          <w:sz w:val="24"/>
          <w:szCs w:val="24"/>
          <w:lang w:val="en-GB"/>
        </w:rPr>
        <w:t>[1990] 2 Admin LR 77)</w:t>
      </w:r>
      <w:r w:rsidR="0044502B">
        <w:rPr>
          <w:rFonts w:ascii="Calibri" w:eastAsia="Arial" w:hAnsi="Calibri" w:cs="Calibri"/>
          <w:color w:val="000000"/>
          <w:sz w:val="24"/>
          <w:szCs w:val="24"/>
          <w:lang w:val="en-GB"/>
        </w:rPr>
        <w:t>;</w:t>
      </w:r>
    </w:p>
    <w:p w14:paraId="70D0CCC6" w14:textId="77777777" w:rsidR="00152920" w:rsidRPr="00713AB4" w:rsidRDefault="00152920">
      <w:pPr>
        <w:pStyle w:val="ListParagraph"/>
        <w:numPr>
          <w:ilvl w:val="2"/>
          <w:numId w:val="9"/>
        </w:numPr>
        <w:tabs>
          <w:tab w:val="left" w:pos="360"/>
          <w:tab w:val="left" w:pos="2448"/>
        </w:tabs>
        <w:spacing w:after="240" w:line="360" w:lineRule="auto"/>
        <w:ind w:left="2232" w:right="85"/>
        <w:contextualSpacing w:val="0"/>
        <w:jc w:val="both"/>
        <w:textAlignment w:val="baseline"/>
        <w:rPr>
          <w:rFonts w:ascii="Calibri" w:eastAsia="Arial" w:hAnsi="Calibri" w:cs="Calibri"/>
          <w:color w:val="000000"/>
          <w:spacing w:val="-1"/>
          <w:sz w:val="24"/>
          <w:szCs w:val="24"/>
          <w:lang w:val="en-GB"/>
        </w:rPr>
      </w:pPr>
      <w:r w:rsidRPr="00713AB4">
        <w:rPr>
          <w:rFonts w:ascii="Calibri" w:eastAsia="Arial" w:hAnsi="Calibri" w:cs="Calibri"/>
          <w:color w:val="000000"/>
          <w:spacing w:val="-1"/>
          <w:sz w:val="24"/>
          <w:szCs w:val="24"/>
          <w:lang w:val="en-GB"/>
        </w:rPr>
        <w:t>if the individual consented to be bound by the decision of the decision maker, it is less likely to be a public law function; if the individual simply had no choice in the matter, the decision is more likely to involve the exercise of public law functions;</w:t>
      </w:r>
    </w:p>
    <w:p w14:paraId="154CC31D" w14:textId="77777777" w:rsidR="00152920" w:rsidRPr="00713AB4" w:rsidRDefault="00152920">
      <w:pPr>
        <w:pStyle w:val="ListParagraph"/>
        <w:numPr>
          <w:ilvl w:val="2"/>
          <w:numId w:val="9"/>
        </w:numPr>
        <w:tabs>
          <w:tab w:val="left" w:pos="360"/>
          <w:tab w:val="left" w:pos="2448"/>
        </w:tabs>
        <w:spacing w:after="240" w:line="360" w:lineRule="auto"/>
        <w:ind w:left="2232"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if the relationship is governed solely by contract, the body is unlikely to be exercising public functions.</w:t>
      </w:r>
    </w:p>
    <w:p w14:paraId="5B4F24A2" w14:textId="3E94FB6F" w:rsidR="00690F3C"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Apart from ‘obvious’ state bodies, those such as the Law Society, the General Medical Council, the Advertising Standards Authority and the National Trust have all been held to be susceptible to judicial review </w:t>
      </w:r>
      <w:r w:rsidR="002957EC" w:rsidRPr="00713AB4">
        <w:rPr>
          <w:rFonts w:ascii="Calibri" w:eastAsia="Arial" w:hAnsi="Calibri" w:cs="Calibri"/>
          <w:color w:val="000000"/>
          <w:sz w:val="24"/>
          <w:szCs w:val="24"/>
          <w:lang w:val="en-GB"/>
        </w:rPr>
        <w:t xml:space="preserve">in </w:t>
      </w:r>
      <w:r w:rsidRPr="00713AB4">
        <w:rPr>
          <w:rFonts w:ascii="Calibri" w:eastAsia="Arial" w:hAnsi="Calibri" w:cs="Calibri"/>
          <w:color w:val="000000"/>
          <w:sz w:val="24"/>
          <w:szCs w:val="24"/>
          <w:lang w:val="en-GB"/>
        </w:rPr>
        <w:t>relation to certain decisions. The Football Association has not</w:t>
      </w:r>
      <w:r w:rsidR="00D1009D" w:rsidRPr="00713AB4">
        <w:rPr>
          <w:rFonts w:ascii="Calibri" w:eastAsia="Arial" w:hAnsi="Calibri" w:cs="Calibri"/>
          <w:color w:val="000000"/>
          <w:sz w:val="24"/>
          <w:szCs w:val="24"/>
          <w:lang w:val="en-GB"/>
        </w:rPr>
        <w:t xml:space="preserve"> (albeit this is based on quite an old decision from 1993 </w:t>
      </w:r>
      <w:r w:rsidR="0067519E">
        <w:rPr>
          <w:rFonts w:ascii="Calibri" w:eastAsia="Arial" w:hAnsi="Calibri" w:cs="Calibri"/>
          <w:color w:val="000000"/>
          <w:sz w:val="24"/>
          <w:szCs w:val="24"/>
          <w:lang w:val="en-GB"/>
        </w:rPr>
        <w:t>–</w:t>
      </w:r>
      <w:r w:rsidR="00D1009D" w:rsidRPr="00713AB4">
        <w:rPr>
          <w:rFonts w:ascii="Calibri" w:eastAsia="Arial" w:hAnsi="Calibri" w:cs="Calibri"/>
          <w:color w:val="000000"/>
          <w:sz w:val="24"/>
          <w:szCs w:val="24"/>
          <w:lang w:val="en-GB"/>
        </w:rPr>
        <w:t xml:space="preserve"> the landscape of football and football regulation has changed considerably since then: </w:t>
      </w:r>
      <w:r w:rsidR="00D1009D" w:rsidRPr="00FA1731">
        <w:rPr>
          <w:rFonts w:ascii="Calibri" w:eastAsia="Arial" w:hAnsi="Calibri" w:cs="Calibri"/>
          <w:i/>
          <w:iCs/>
          <w:color w:val="000000"/>
          <w:sz w:val="24"/>
          <w:szCs w:val="24"/>
          <w:u w:val="single"/>
          <w:lang w:val="en-GB"/>
        </w:rPr>
        <w:t>R v Football Association Ltd, ex p Football League Ltd</w:t>
      </w:r>
      <w:r w:rsidR="00D1009D" w:rsidRPr="00354BB1">
        <w:rPr>
          <w:rFonts w:ascii="Calibri" w:eastAsia="Arial" w:hAnsi="Calibri" w:cs="Calibri"/>
          <w:color w:val="000000"/>
          <w:sz w:val="24"/>
          <w:szCs w:val="24"/>
          <w:lang w:val="en-GB"/>
        </w:rPr>
        <w:t xml:space="preserve"> [1993] 2 All ER 833</w:t>
      </w:r>
      <w:r w:rsidR="00D1009D" w:rsidRPr="0056241D">
        <w:rPr>
          <w:rFonts w:ascii="Calibri" w:eastAsia="Arial" w:hAnsi="Calibri" w:cs="Calibri"/>
          <w:color w:val="000000"/>
          <w:sz w:val="24"/>
          <w:szCs w:val="24"/>
          <w:lang w:val="en-GB"/>
        </w:rPr>
        <w:t>)</w:t>
      </w:r>
      <w:r w:rsidRPr="00713AB4">
        <w:rPr>
          <w:rFonts w:ascii="Calibri" w:eastAsia="Arial" w:hAnsi="Calibri" w:cs="Calibri"/>
          <w:color w:val="000000"/>
          <w:sz w:val="24"/>
          <w:szCs w:val="24"/>
          <w:lang w:val="en-GB"/>
        </w:rPr>
        <w:t>.</w:t>
      </w:r>
    </w:p>
    <w:p w14:paraId="3A7F3394" w14:textId="1E6910B0" w:rsidR="00690F3C"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The Human Rights Act 1998 (‘HRA’) provides a loose definition of a public authority in section 6. It states that a public authority (and therefore on</w:t>
      </w:r>
      <w:r w:rsidR="003C7631" w:rsidRPr="00713AB4">
        <w:rPr>
          <w:rFonts w:ascii="Calibri" w:eastAsia="Arial" w:hAnsi="Calibri" w:cs="Calibri"/>
          <w:color w:val="000000"/>
          <w:sz w:val="24"/>
          <w:szCs w:val="24"/>
          <w:lang w:val="en-GB"/>
        </w:rPr>
        <w:t>e</w:t>
      </w:r>
      <w:r w:rsidRPr="00713AB4">
        <w:rPr>
          <w:rFonts w:ascii="Calibri" w:eastAsia="Arial" w:hAnsi="Calibri" w:cs="Calibri"/>
          <w:color w:val="000000"/>
          <w:sz w:val="24"/>
          <w:szCs w:val="24"/>
          <w:lang w:val="en-GB"/>
        </w:rPr>
        <w:t xml:space="preserve"> that is bound by human rights law) is one “whose functions are functions of a public nature”. It does not go on to define public functions and so arguably it does not take us much further than the analysis set out above.</w:t>
      </w:r>
    </w:p>
    <w:p w14:paraId="7900CCD0" w14:textId="77777777" w:rsidR="00740ABB" w:rsidRPr="00713AB4" w:rsidRDefault="00152920" w:rsidP="00740AB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Although, as we have noted, judicial review claims can be brought against private bodies such as corporations, to the extent that they discharge public functions, it is convenient to refer to the bodies against which judicial review may be brought as “public bodies”.</w:t>
      </w:r>
    </w:p>
    <w:p w14:paraId="71B102BB" w14:textId="3F3896DF" w:rsidR="00152920" w:rsidRPr="00713AB4" w:rsidRDefault="00152920" w:rsidP="00740ABB">
      <w:pPr>
        <w:spacing w:after="240" w:line="360" w:lineRule="auto"/>
        <w:ind w:left="720"/>
        <w:jc w:val="both"/>
        <w:rPr>
          <w:rFonts w:ascii="Calibri" w:eastAsia="Arial" w:hAnsi="Calibri" w:cs="Calibri"/>
          <w:color w:val="000000"/>
          <w:sz w:val="24"/>
          <w:szCs w:val="24"/>
          <w:lang w:val="en-GB"/>
        </w:rPr>
      </w:pPr>
      <w:r w:rsidRPr="00713AB4">
        <w:rPr>
          <w:rFonts w:ascii="Calibri" w:eastAsia="Arial" w:hAnsi="Calibri" w:cs="Calibri"/>
          <w:b/>
          <w:color w:val="000000"/>
          <w:sz w:val="24"/>
          <w:szCs w:val="24"/>
          <w:lang w:val="en-GB"/>
        </w:rPr>
        <w:lastRenderedPageBreak/>
        <w:t>Identifying the decision, act or omission to be challenged</w:t>
      </w:r>
    </w:p>
    <w:p w14:paraId="2EC2B1C0" w14:textId="77777777"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One of the first considerations before bringing a claim for judicial review is to identify the decision, act or omission to be challenged. There are </w:t>
      </w:r>
      <w:proofErr w:type="gramStart"/>
      <w:r w:rsidRPr="00713AB4">
        <w:rPr>
          <w:rFonts w:ascii="Calibri" w:eastAsia="Arial" w:hAnsi="Calibri" w:cs="Calibri"/>
          <w:color w:val="000000"/>
          <w:sz w:val="24"/>
          <w:szCs w:val="24"/>
          <w:lang w:val="en-GB"/>
        </w:rPr>
        <w:t>a number of</w:t>
      </w:r>
      <w:proofErr w:type="gramEnd"/>
      <w:r w:rsidRPr="00713AB4">
        <w:rPr>
          <w:rFonts w:ascii="Calibri" w:eastAsia="Arial" w:hAnsi="Calibri" w:cs="Calibri"/>
          <w:color w:val="000000"/>
          <w:sz w:val="24"/>
          <w:szCs w:val="24"/>
          <w:lang w:val="en-GB"/>
        </w:rPr>
        <w:t xml:space="preserve"> reasons why this is fundamentally important:</w:t>
      </w:r>
    </w:p>
    <w:p w14:paraId="66EDE48B" w14:textId="77777777" w:rsidR="003C2CAB" w:rsidRPr="00713AB4" w:rsidRDefault="00152920" w:rsidP="005D28F7">
      <w:pPr>
        <w:pStyle w:val="ListParagraph"/>
        <w:numPr>
          <w:ilvl w:val="0"/>
          <w:numId w:val="33"/>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We have already noted that judicial review is only available in respect of decisions, acts and omissions that are made in the exercise of public functions. Identifying the object of challenge will enable the judicial review practitioner to </w:t>
      </w:r>
      <w:proofErr w:type="gramStart"/>
      <w:r w:rsidRPr="00713AB4">
        <w:rPr>
          <w:rFonts w:ascii="Calibri" w:eastAsia="Arial" w:hAnsi="Calibri" w:cs="Calibri"/>
          <w:color w:val="000000"/>
          <w:sz w:val="24"/>
          <w:szCs w:val="24"/>
          <w:lang w:val="en-GB"/>
        </w:rPr>
        <w:t>give consideration to</w:t>
      </w:r>
      <w:proofErr w:type="gramEnd"/>
      <w:r w:rsidRPr="00713AB4">
        <w:rPr>
          <w:rFonts w:ascii="Calibri" w:eastAsia="Arial" w:hAnsi="Calibri" w:cs="Calibri"/>
          <w:color w:val="000000"/>
          <w:sz w:val="24"/>
          <w:szCs w:val="24"/>
          <w:lang w:val="en-GB"/>
        </w:rPr>
        <w:t xml:space="preserve"> this crucial issue at the outset.</w:t>
      </w:r>
    </w:p>
    <w:p w14:paraId="6A07C217" w14:textId="0002929A" w:rsidR="003C2CAB" w:rsidRPr="00713AB4" w:rsidRDefault="00152920" w:rsidP="005D28F7">
      <w:pPr>
        <w:pStyle w:val="ListParagraph"/>
        <w:numPr>
          <w:ilvl w:val="0"/>
          <w:numId w:val="33"/>
        </w:numPr>
        <w:tabs>
          <w:tab w:val="left" w:pos="360"/>
          <w:tab w:val="left" w:pos="1512"/>
        </w:tabs>
        <w:spacing w:after="240" w:line="360" w:lineRule="auto"/>
        <w:ind w:right="85"/>
        <w:contextualSpacing w:val="0"/>
        <w:jc w:val="both"/>
        <w:textAlignment w:val="baseline"/>
        <w:rPr>
          <w:rFonts w:ascii="Calibri" w:eastAsia="Arial" w:hAnsi="Calibri" w:cs="Calibri"/>
          <w:color w:val="000000"/>
          <w:lang w:val="en-GB"/>
        </w:rPr>
      </w:pPr>
      <w:r w:rsidRPr="00713AB4">
        <w:rPr>
          <w:rFonts w:ascii="Calibri" w:eastAsia="Arial" w:hAnsi="Calibri" w:cs="Calibri"/>
          <w:color w:val="000000" w:themeColor="text1"/>
          <w:sz w:val="24"/>
          <w:szCs w:val="24"/>
          <w:lang w:val="en-GB"/>
        </w:rPr>
        <w:t>We have already noted that only certain remedies are available to the court on an application for judicial review (see Section 31 of the Senior Courts Act 1981</w:t>
      </w:r>
      <w:r w:rsidR="2A87569A" w:rsidRPr="00713AB4">
        <w:rPr>
          <w:rFonts w:ascii="Calibri" w:eastAsia="Arial" w:hAnsi="Calibri" w:cs="Calibri"/>
          <w:color w:val="000000" w:themeColor="text1"/>
          <w:sz w:val="24"/>
          <w:szCs w:val="24"/>
          <w:lang w:val="en-GB"/>
        </w:rPr>
        <w:t>, which as discussed below, has been modified recently</w:t>
      </w:r>
      <w:r w:rsidRPr="00713AB4">
        <w:rPr>
          <w:rFonts w:ascii="Calibri" w:eastAsia="Arial" w:hAnsi="Calibri" w:cs="Calibri"/>
          <w:color w:val="000000" w:themeColor="text1"/>
          <w:sz w:val="24"/>
          <w:szCs w:val="24"/>
          <w:lang w:val="en-GB"/>
        </w:rPr>
        <w:t>. These are considered below. Identifying the object of challenge, will enable the judicial review practitioner to assess which if any of these remedies would be appropriate, and therefore whether it is worth embarking on a claim for judicial review.</w:t>
      </w:r>
    </w:p>
    <w:p w14:paraId="07FE178A" w14:textId="468BDF5A" w:rsidR="003C2CAB" w:rsidRPr="00713AB4" w:rsidRDefault="00152920" w:rsidP="005D28F7">
      <w:pPr>
        <w:pStyle w:val="ListParagraph"/>
        <w:numPr>
          <w:ilvl w:val="0"/>
          <w:numId w:val="33"/>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Similarly, we have already observed that judicial review is a remedy of last resort. Identifying the object of challenge is necessary to assess whether there are any alternative remedies available to the perspective judicial review claimant, and if there are, why it might be appropriate to pursue a judicial review claim instead.</w:t>
      </w:r>
    </w:p>
    <w:p w14:paraId="3E070685" w14:textId="390C84F5" w:rsidR="00152920" w:rsidRPr="00713AB4" w:rsidRDefault="00152920" w:rsidP="005D28F7">
      <w:pPr>
        <w:pStyle w:val="ListParagraph"/>
        <w:numPr>
          <w:ilvl w:val="0"/>
          <w:numId w:val="33"/>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There are short time limits for bringing a claim of judicial review. Isolating the object of challenge will help to ensure that the judicial review time limits </w:t>
      </w:r>
      <w:r w:rsidR="0070544B" w:rsidRPr="00713AB4">
        <w:rPr>
          <w:rFonts w:ascii="Calibri" w:eastAsia="Arial" w:hAnsi="Calibri" w:cs="Calibri"/>
          <w:color w:val="000000"/>
          <w:sz w:val="24"/>
          <w:szCs w:val="24"/>
          <w:lang w:val="en-GB"/>
        </w:rPr>
        <w:t>are</w:t>
      </w:r>
      <w:r w:rsidRPr="00713AB4">
        <w:rPr>
          <w:rFonts w:ascii="Calibri" w:eastAsia="Arial" w:hAnsi="Calibri" w:cs="Calibri"/>
          <w:color w:val="000000"/>
          <w:sz w:val="24"/>
          <w:szCs w:val="24"/>
          <w:lang w:val="en-GB"/>
        </w:rPr>
        <w:t xml:space="preserve"> not missed.</w:t>
      </w:r>
    </w:p>
    <w:p w14:paraId="6D1EBD19" w14:textId="019DB72C" w:rsidR="00740ABB" w:rsidRPr="00713AB4" w:rsidRDefault="00152920" w:rsidP="00740AB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We considered </w:t>
      </w:r>
      <w:proofErr w:type="spellStart"/>
      <w:r w:rsidR="002A7FF3" w:rsidRPr="00713AB4">
        <w:rPr>
          <w:rFonts w:ascii="Calibri" w:eastAsia="Arial" w:hAnsi="Calibri" w:cs="Calibri"/>
          <w:color w:val="000000"/>
          <w:sz w:val="24"/>
          <w:szCs w:val="24"/>
          <w:lang w:val="en-GB"/>
        </w:rPr>
        <w:t>i</w:t>
      </w:r>
      <w:proofErr w:type="spellEnd"/>
      <w:r w:rsidRPr="00713AB4">
        <w:rPr>
          <w:rFonts w:ascii="Calibri" w:eastAsia="Arial" w:hAnsi="Calibri" w:cs="Calibri"/>
          <w:color w:val="000000"/>
          <w:sz w:val="24"/>
          <w:szCs w:val="24"/>
          <w:lang w:val="en-GB"/>
        </w:rPr>
        <w:t xml:space="preserve"> at paragraphs </w:t>
      </w:r>
      <w:r w:rsidR="00F70449">
        <w:rPr>
          <w:rFonts w:ascii="Calibri" w:eastAsia="Arial" w:hAnsi="Calibri" w:cs="Calibri"/>
          <w:color w:val="000000"/>
          <w:sz w:val="24"/>
          <w:szCs w:val="24"/>
          <w:lang w:val="en-GB"/>
        </w:rPr>
        <w:t>36-43</w:t>
      </w:r>
      <w:r w:rsidRPr="00713AB4">
        <w:rPr>
          <w:rFonts w:ascii="Calibri" w:eastAsia="Arial" w:hAnsi="Calibri" w:cs="Calibri"/>
          <w:color w:val="000000"/>
          <w:sz w:val="24"/>
          <w:szCs w:val="24"/>
          <w:lang w:val="en-GB"/>
        </w:rPr>
        <w:t xml:space="preserve"> above. We will now consider issues </w:t>
      </w:r>
      <w:r w:rsidR="002E0A46">
        <w:rPr>
          <w:rFonts w:ascii="Calibri" w:eastAsia="Arial" w:hAnsi="Calibri" w:cs="Calibri"/>
          <w:color w:val="000000"/>
          <w:sz w:val="24"/>
          <w:szCs w:val="24"/>
          <w:lang w:val="en-GB"/>
        </w:rPr>
        <w:t xml:space="preserve">iii and </w:t>
      </w:r>
      <w:r w:rsidR="002A7FF3" w:rsidRPr="00713AB4">
        <w:rPr>
          <w:rFonts w:ascii="Calibri" w:eastAsia="Arial" w:hAnsi="Calibri" w:cs="Calibri"/>
          <w:color w:val="000000"/>
          <w:sz w:val="24"/>
          <w:szCs w:val="24"/>
          <w:lang w:val="en-GB"/>
        </w:rPr>
        <w:t>iv</w:t>
      </w:r>
      <w:r w:rsidRPr="00713AB4">
        <w:rPr>
          <w:rFonts w:ascii="Calibri" w:eastAsia="Arial" w:hAnsi="Calibri" w:cs="Calibri"/>
          <w:color w:val="000000"/>
          <w:sz w:val="24"/>
          <w:szCs w:val="24"/>
          <w:lang w:val="en-GB"/>
        </w:rPr>
        <w:t xml:space="preserve"> in turn</w:t>
      </w:r>
      <w:r w:rsidR="002E0A46">
        <w:rPr>
          <w:rFonts w:ascii="Calibri" w:eastAsia="Arial" w:hAnsi="Calibri" w:cs="Calibri"/>
          <w:color w:val="000000"/>
          <w:sz w:val="24"/>
          <w:szCs w:val="24"/>
          <w:lang w:val="en-GB"/>
        </w:rPr>
        <w:t>, and issue ii (remedies) will be addressed at the end.</w:t>
      </w:r>
    </w:p>
    <w:p w14:paraId="5AE66765" w14:textId="03FADC43" w:rsidR="00152920" w:rsidRPr="00713AB4" w:rsidRDefault="00152920" w:rsidP="00713AB4">
      <w:pPr>
        <w:keepNext/>
        <w:spacing w:after="240" w:line="360" w:lineRule="auto"/>
        <w:ind w:left="357" w:right="85" w:firstLine="363"/>
        <w:jc w:val="both"/>
        <w:textAlignment w:val="baseline"/>
        <w:rPr>
          <w:rFonts w:ascii="Calibri" w:eastAsia="Arial" w:hAnsi="Calibri" w:cs="Calibri"/>
          <w:b/>
          <w:color w:val="000000"/>
          <w:spacing w:val="-1"/>
          <w:sz w:val="24"/>
          <w:szCs w:val="24"/>
          <w:lang w:val="en-GB"/>
        </w:rPr>
      </w:pPr>
      <w:r w:rsidRPr="00713AB4">
        <w:rPr>
          <w:rFonts w:ascii="Calibri" w:eastAsia="Arial" w:hAnsi="Calibri" w:cs="Calibri"/>
          <w:b/>
          <w:color w:val="000000"/>
          <w:spacing w:val="-1"/>
          <w:sz w:val="24"/>
          <w:szCs w:val="24"/>
          <w:lang w:val="en-GB"/>
        </w:rPr>
        <w:t xml:space="preserve">Time limits for bringing claims for judicial review </w:t>
      </w:r>
    </w:p>
    <w:p w14:paraId="5419673B" w14:textId="77777777"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CPR54.5 states:</w:t>
      </w:r>
    </w:p>
    <w:p w14:paraId="7012E1C3" w14:textId="77777777" w:rsidR="00EA1DAF" w:rsidRPr="00713AB4" w:rsidRDefault="00152920" w:rsidP="00EA1DAF">
      <w:pPr>
        <w:numPr>
          <w:ilvl w:val="0"/>
          <w:numId w:val="28"/>
        </w:numPr>
        <w:tabs>
          <w:tab w:val="num" w:pos="1447"/>
        </w:tabs>
        <w:spacing w:after="240" w:line="360" w:lineRule="auto"/>
        <w:ind w:left="1447" w:hanging="720"/>
        <w:jc w:val="both"/>
        <w:rPr>
          <w:rFonts w:ascii="Calibri" w:eastAsia="Arial" w:hAnsi="Calibri" w:cs="Calibri"/>
          <w:color w:val="000000"/>
          <w:lang w:val="en-GB"/>
        </w:rPr>
      </w:pPr>
      <w:r w:rsidRPr="00713AB4">
        <w:rPr>
          <w:rFonts w:ascii="Calibri" w:eastAsia="Arial" w:hAnsi="Calibri" w:cs="Calibri"/>
          <w:color w:val="000000"/>
          <w:lang w:val="en-GB"/>
        </w:rPr>
        <w:lastRenderedPageBreak/>
        <w:t xml:space="preserve">the </w:t>
      </w:r>
      <w:r w:rsidRPr="00354BB1">
        <w:rPr>
          <w:rFonts w:ascii="Calibri" w:eastAsia="Times New Roman" w:hAnsi="Calibri" w:cs="Calibri"/>
          <w:szCs w:val="18"/>
          <w:lang w:val="en-GB"/>
        </w:rPr>
        <w:t>claim</w:t>
      </w:r>
      <w:r w:rsidRPr="00713AB4">
        <w:rPr>
          <w:rFonts w:ascii="Calibri" w:eastAsia="Arial" w:hAnsi="Calibri" w:cs="Calibri"/>
          <w:color w:val="000000"/>
          <w:lang w:val="en-GB"/>
        </w:rPr>
        <w:t xml:space="preserve"> form must be filed </w:t>
      </w:r>
      <w:r w:rsidR="003A0C81" w:rsidRPr="00713AB4">
        <w:rPr>
          <w:rFonts w:ascii="Calibri" w:eastAsia="Arial" w:hAnsi="Calibri" w:cs="Calibri"/>
          <w:color w:val="000000"/>
          <w:lang w:val="en-GB"/>
        </w:rPr>
        <w:t>–</w:t>
      </w:r>
    </w:p>
    <w:p w14:paraId="19F02248" w14:textId="2C8E7FEA" w:rsidR="00EA1DAF" w:rsidRPr="00713AB4" w:rsidRDefault="00152920" w:rsidP="00EA1DAF">
      <w:pPr>
        <w:numPr>
          <w:ilvl w:val="4"/>
          <w:numId w:val="28"/>
        </w:numPr>
        <w:spacing w:after="240" w:line="360" w:lineRule="auto"/>
        <w:jc w:val="both"/>
        <w:rPr>
          <w:rFonts w:ascii="Calibri" w:eastAsia="Arial" w:hAnsi="Calibri" w:cs="Calibri"/>
          <w:color w:val="000000"/>
          <w:lang w:val="en-GB"/>
        </w:rPr>
      </w:pPr>
      <w:r w:rsidRPr="00713AB4">
        <w:rPr>
          <w:rFonts w:ascii="Calibri" w:eastAsia="Arial" w:hAnsi="Calibri" w:cs="Calibri"/>
          <w:color w:val="000000"/>
          <w:lang w:val="en-GB"/>
        </w:rPr>
        <w:t>promptly;</w:t>
      </w:r>
      <w:r w:rsidR="004B7A0D" w:rsidRPr="00713AB4">
        <w:rPr>
          <w:rFonts w:ascii="Calibri" w:eastAsia="Arial" w:hAnsi="Calibri" w:cs="Calibri"/>
          <w:color w:val="000000"/>
          <w:lang w:val="en-GB"/>
        </w:rPr>
        <w:t xml:space="preserve"> and</w:t>
      </w:r>
    </w:p>
    <w:p w14:paraId="5C390F1F" w14:textId="4D6795F1" w:rsidR="00152920" w:rsidRPr="00713AB4" w:rsidRDefault="00152920" w:rsidP="00EA1DAF">
      <w:pPr>
        <w:numPr>
          <w:ilvl w:val="4"/>
          <w:numId w:val="28"/>
        </w:numPr>
        <w:spacing w:after="240" w:line="360" w:lineRule="auto"/>
        <w:jc w:val="both"/>
        <w:rPr>
          <w:rFonts w:ascii="Calibri" w:eastAsia="Arial" w:hAnsi="Calibri" w:cs="Calibri"/>
          <w:color w:val="000000"/>
          <w:lang w:val="en-GB"/>
        </w:rPr>
      </w:pPr>
      <w:r w:rsidRPr="00713AB4">
        <w:rPr>
          <w:rFonts w:ascii="Calibri" w:eastAsia="Arial" w:hAnsi="Calibri" w:cs="Calibri"/>
          <w:color w:val="000000"/>
          <w:lang w:val="en-GB"/>
        </w:rPr>
        <w:t>In any event not later than 3 months after the grounds to make the claim first arose.</w:t>
      </w:r>
      <w:r w:rsidR="003A0C81" w:rsidRPr="00713AB4">
        <w:rPr>
          <w:rFonts w:ascii="Calibri" w:eastAsia="Arial" w:hAnsi="Calibri" w:cs="Calibri"/>
          <w:color w:val="000000"/>
          <w:lang w:val="en-GB"/>
        </w:rPr>
        <w:tab/>
      </w:r>
    </w:p>
    <w:p w14:paraId="14060C2E" w14:textId="77777777" w:rsidR="00152920" w:rsidRPr="00713AB4" w:rsidRDefault="00152920" w:rsidP="00EA1DAF">
      <w:pPr>
        <w:numPr>
          <w:ilvl w:val="0"/>
          <w:numId w:val="28"/>
        </w:numPr>
        <w:tabs>
          <w:tab w:val="num" w:pos="1447"/>
        </w:tabs>
        <w:spacing w:after="240" w:line="360" w:lineRule="auto"/>
        <w:ind w:left="1447" w:hanging="720"/>
        <w:jc w:val="both"/>
        <w:rPr>
          <w:rFonts w:ascii="Calibri" w:eastAsia="Arial" w:hAnsi="Calibri" w:cs="Calibri"/>
          <w:color w:val="000000"/>
          <w:lang w:val="en-GB"/>
        </w:rPr>
      </w:pPr>
      <w:r w:rsidRPr="00713AB4">
        <w:rPr>
          <w:rFonts w:ascii="Calibri" w:eastAsia="Arial" w:hAnsi="Calibri" w:cs="Calibri"/>
          <w:color w:val="000000"/>
          <w:lang w:val="en-GB"/>
        </w:rPr>
        <w:t xml:space="preserve">The </w:t>
      </w:r>
      <w:r w:rsidRPr="00354BB1">
        <w:rPr>
          <w:rFonts w:ascii="Calibri" w:eastAsia="Times New Roman" w:hAnsi="Calibri" w:cs="Calibri"/>
          <w:szCs w:val="18"/>
          <w:lang w:val="en-GB"/>
        </w:rPr>
        <w:t>time</w:t>
      </w:r>
      <w:r w:rsidRPr="00713AB4">
        <w:rPr>
          <w:rFonts w:ascii="Calibri" w:eastAsia="Arial" w:hAnsi="Calibri" w:cs="Calibri"/>
          <w:color w:val="000000"/>
          <w:lang w:val="en-GB"/>
        </w:rPr>
        <w:t xml:space="preserve"> limits in this rule may not be extended by agreement between the parties.</w:t>
      </w:r>
    </w:p>
    <w:p w14:paraId="470DF41D" w14:textId="77777777" w:rsidR="00152920" w:rsidRPr="00713AB4" w:rsidRDefault="00152920" w:rsidP="00EA1DAF">
      <w:pPr>
        <w:numPr>
          <w:ilvl w:val="0"/>
          <w:numId w:val="28"/>
        </w:numPr>
        <w:tabs>
          <w:tab w:val="num" w:pos="1447"/>
        </w:tabs>
        <w:spacing w:after="240" w:line="360" w:lineRule="auto"/>
        <w:ind w:left="1447" w:hanging="720"/>
        <w:jc w:val="both"/>
        <w:rPr>
          <w:rFonts w:ascii="Calibri" w:eastAsia="Arial" w:hAnsi="Calibri" w:cs="Calibri"/>
          <w:color w:val="000000"/>
          <w:lang w:val="en-GB"/>
        </w:rPr>
      </w:pPr>
      <w:r w:rsidRPr="00713AB4">
        <w:rPr>
          <w:rFonts w:ascii="Calibri" w:eastAsia="Arial" w:hAnsi="Calibri" w:cs="Calibri"/>
          <w:color w:val="000000"/>
          <w:lang w:val="en-GB"/>
        </w:rPr>
        <w:t xml:space="preserve">This </w:t>
      </w:r>
      <w:r w:rsidRPr="00354BB1">
        <w:rPr>
          <w:rFonts w:ascii="Calibri" w:eastAsia="Times New Roman" w:hAnsi="Calibri" w:cs="Calibri"/>
          <w:szCs w:val="18"/>
          <w:lang w:val="en-GB"/>
        </w:rPr>
        <w:t>rule</w:t>
      </w:r>
      <w:r w:rsidRPr="00713AB4">
        <w:rPr>
          <w:rFonts w:ascii="Calibri" w:eastAsia="Arial" w:hAnsi="Calibri" w:cs="Calibri"/>
          <w:color w:val="000000"/>
          <w:lang w:val="en-GB"/>
        </w:rPr>
        <w:t xml:space="preserve"> does not apply when any other enactment specifies a shorter time limit for making the claim for judicial review.</w:t>
      </w:r>
    </w:p>
    <w:p w14:paraId="7D5AC73C" w14:textId="77777777" w:rsidR="00152920" w:rsidRPr="00713AB4" w:rsidRDefault="00152920" w:rsidP="00EA1DAF">
      <w:pPr>
        <w:numPr>
          <w:ilvl w:val="0"/>
          <w:numId w:val="28"/>
        </w:numPr>
        <w:tabs>
          <w:tab w:val="num" w:pos="1447"/>
        </w:tabs>
        <w:spacing w:after="240" w:line="360" w:lineRule="auto"/>
        <w:ind w:left="1447" w:hanging="720"/>
        <w:jc w:val="both"/>
        <w:rPr>
          <w:rFonts w:ascii="Calibri" w:eastAsia="Arial" w:hAnsi="Calibri" w:cs="Calibri"/>
          <w:color w:val="000000"/>
          <w:lang w:val="en-GB"/>
        </w:rPr>
      </w:pPr>
      <w:r w:rsidRPr="00354BB1">
        <w:rPr>
          <w:rFonts w:ascii="Calibri" w:eastAsia="Times New Roman" w:hAnsi="Calibri" w:cs="Calibri"/>
          <w:szCs w:val="18"/>
          <w:lang w:val="en-GB"/>
        </w:rPr>
        <w:t>Paragraph</w:t>
      </w:r>
      <w:r w:rsidRPr="00713AB4">
        <w:rPr>
          <w:rFonts w:ascii="Calibri" w:eastAsia="Arial" w:hAnsi="Calibri" w:cs="Calibri"/>
          <w:color w:val="000000"/>
          <w:lang w:val="en-GB"/>
        </w:rPr>
        <w:t xml:space="preserve"> (1) does not apply in the cases specified in paragraphs (5) and (6).</w:t>
      </w:r>
    </w:p>
    <w:p w14:paraId="1E9A4CAC" w14:textId="77777777" w:rsidR="00152920" w:rsidRPr="00713AB4" w:rsidRDefault="00152920" w:rsidP="00EA1DAF">
      <w:pPr>
        <w:numPr>
          <w:ilvl w:val="0"/>
          <w:numId w:val="28"/>
        </w:numPr>
        <w:tabs>
          <w:tab w:val="num" w:pos="1447"/>
        </w:tabs>
        <w:spacing w:after="240" w:line="360" w:lineRule="auto"/>
        <w:ind w:left="1447" w:hanging="720"/>
        <w:jc w:val="both"/>
        <w:rPr>
          <w:rFonts w:ascii="Calibri" w:eastAsia="Arial" w:hAnsi="Calibri" w:cs="Calibri"/>
          <w:color w:val="000000"/>
          <w:lang w:val="en-GB"/>
        </w:rPr>
      </w:pPr>
      <w:r w:rsidRPr="00713AB4">
        <w:rPr>
          <w:rFonts w:ascii="Calibri" w:eastAsia="Arial" w:hAnsi="Calibri" w:cs="Calibri"/>
          <w:color w:val="000000"/>
          <w:lang w:val="en-GB"/>
        </w:rPr>
        <w:t xml:space="preserve">Where the application for judicial review relates to a decision made by the </w:t>
      </w:r>
      <w:r w:rsidRPr="00354BB1">
        <w:rPr>
          <w:rFonts w:ascii="Calibri" w:eastAsia="Times New Roman" w:hAnsi="Calibri" w:cs="Calibri"/>
          <w:szCs w:val="18"/>
          <w:lang w:val="en-GB"/>
        </w:rPr>
        <w:t>Secretary</w:t>
      </w:r>
      <w:r w:rsidRPr="00713AB4">
        <w:rPr>
          <w:rFonts w:ascii="Calibri" w:eastAsia="Arial" w:hAnsi="Calibri" w:cs="Calibri"/>
          <w:color w:val="000000"/>
          <w:lang w:val="en-GB"/>
        </w:rPr>
        <w:t xml:space="preserve"> of State or local planning authority under the planning acts, the claim form must be filed not later than six weeks after the grounds to make the claim first arose.</w:t>
      </w:r>
    </w:p>
    <w:p w14:paraId="207C3056" w14:textId="7F35E480" w:rsidR="00152920" w:rsidRPr="00713AB4" w:rsidRDefault="00152920" w:rsidP="00EA1DAF">
      <w:pPr>
        <w:numPr>
          <w:ilvl w:val="0"/>
          <w:numId w:val="28"/>
        </w:numPr>
        <w:tabs>
          <w:tab w:val="num" w:pos="1447"/>
        </w:tabs>
        <w:spacing w:after="240" w:line="360" w:lineRule="auto"/>
        <w:ind w:left="1447" w:hanging="720"/>
        <w:jc w:val="both"/>
        <w:rPr>
          <w:rFonts w:ascii="Calibri" w:eastAsia="Arial" w:hAnsi="Calibri" w:cs="Calibri"/>
          <w:color w:val="000000"/>
          <w:lang w:val="en-GB"/>
        </w:rPr>
      </w:pPr>
      <w:r w:rsidRPr="00713AB4">
        <w:rPr>
          <w:rFonts w:ascii="Calibri" w:eastAsia="Arial" w:hAnsi="Calibri" w:cs="Calibri"/>
          <w:color w:val="000000"/>
          <w:lang w:val="en-GB"/>
        </w:rPr>
        <w:t>Where the application for judicial review relates to a decision governed by the Public Contracts Regulations 2015, the claim form must be filed within the time within which an economic operator would have been required by regulation 92 of those Regulations (and disregarding the rest of that regulation) to start any proceedings under those Regulations in respect of that decision</w:t>
      </w:r>
      <w:r w:rsidR="0019219B" w:rsidRPr="00713AB4">
        <w:rPr>
          <w:rFonts w:ascii="Calibri" w:eastAsia="Arial" w:hAnsi="Calibri" w:cs="Calibri"/>
          <w:color w:val="000000"/>
          <w:lang w:val="en-GB"/>
        </w:rPr>
        <w:t>.</w:t>
      </w:r>
      <w:r w:rsidRPr="00713AB4">
        <w:rPr>
          <w:rFonts w:ascii="Calibri" w:eastAsia="Arial" w:hAnsi="Calibri" w:cs="Calibri"/>
          <w:color w:val="000000"/>
          <w:lang w:val="en-GB"/>
        </w:rPr>
        <w:t xml:space="preserve"> </w:t>
      </w:r>
      <w:r w:rsidRPr="00713AB4">
        <w:rPr>
          <w:rFonts w:ascii="Calibri" w:eastAsia="Arial" w:hAnsi="Calibri" w:cs="Calibri"/>
          <w:i/>
          <w:iCs/>
          <w:color w:val="000000"/>
          <w:lang w:val="en-GB"/>
        </w:rPr>
        <w:t>[</w:t>
      </w:r>
      <w:proofErr w:type="gramStart"/>
      <w:r w:rsidRPr="00713AB4">
        <w:rPr>
          <w:rFonts w:ascii="Calibri" w:eastAsia="Arial" w:hAnsi="Calibri" w:cs="Calibri"/>
          <w:i/>
          <w:iCs/>
          <w:color w:val="000000"/>
          <w:lang w:val="en-GB"/>
        </w:rPr>
        <w:t>generally</w:t>
      </w:r>
      <w:proofErr w:type="gramEnd"/>
      <w:r w:rsidRPr="00713AB4">
        <w:rPr>
          <w:rFonts w:ascii="Calibri" w:eastAsia="Arial" w:hAnsi="Calibri" w:cs="Calibri"/>
          <w:i/>
          <w:iCs/>
          <w:color w:val="000000"/>
          <w:lang w:val="en-GB"/>
        </w:rPr>
        <w:t xml:space="preserve"> </w:t>
      </w:r>
      <w:r w:rsidR="0019219B" w:rsidRPr="00713AB4">
        <w:rPr>
          <w:rFonts w:ascii="Calibri" w:eastAsia="Arial" w:hAnsi="Calibri" w:cs="Calibri"/>
          <w:i/>
          <w:iCs/>
          <w:color w:val="000000"/>
          <w:lang w:val="en-GB"/>
        </w:rPr>
        <w:t xml:space="preserve">this is within </w:t>
      </w:r>
      <w:r w:rsidRPr="00713AB4">
        <w:rPr>
          <w:rFonts w:ascii="Calibri" w:eastAsia="Arial" w:hAnsi="Calibri" w:cs="Calibri"/>
          <w:i/>
          <w:iCs/>
          <w:color w:val="000000"/>
          <w:lang w:val="en-GB"/>
        </w:rPr>
        <w:t>30 days].</w:t>
      </w:r>
    </w:p>
    <w:p w14:paraId="453BE9B8" w14:textId="7D982329" w:rsidR="00FE021B" w:rsidRPr="00713AB4" w:rsidRDefault="00FE021B" w:rsidP="00EA1DAF">
      <w:pPr>
        <w:numPr>
          <w:ilvl w:val="0"/>
          <w:numId w:val="28"/>
        </w:numPr>
        <w:tabs>
          <w:tab w:val="num" w:pos="1447"/>
        </w:tabs>
        <w:spacing w:after="240" w:line="360" w:lineRule="auto"/>
        <w:ind w:left="1447" w:hanging="720"/>
        <w:jc w:val="both"/>
        <w:rPr>
          <w:rFonts w:ascii="Calibri" w:eastAsia="Arial" w:hAnsi="Calibri" w:cs="Calibri"/>
          <w:color w:val="000000"/>
          <w:lang w:val="en-GB"/>
        </w:rPr>
      </w:pPr>
      <w:r w:rsidRPr="00713AB4">
        <w:rPr>
          <w:rFonts w:ascii="Calibri" w:eastAsia="Arial" w:hAnsi="Calibri" w:cs="Calibri"/>
          <w:color w:val="000000"/>
          <w:lang w:val="en-GB"/>
        </w:rPr>
        <w:t xml:space="preserve">Where the application for judicial review is in respect of a failure by a competent authority to comply with the Public Service Obligations in Transport Regulations 2023(1) in deciding to </w:t>
      </w:r>
      <w:proofErr w:type="gramStart"/>
      <w:r w:rsidRPr="00713AB4">
        <w:rPr>
          <w:rFonts w:ascii="Calibri" w:eastAsia="Arial" w:hAnsi="Calibri" w:cs="Calibri"/>
          <w:color w:val="000000"/>
          <w:lang w:val="en-GB"/>
        </w:rPr>
        <w:t>enter into</w:t>
      </w:r>
      <w:proofErr w:type="gramEnd"/>
      <w:r w:rsidRPr="00713AB4">
        <w:rPr>
          <w:rFonts w:ascii="Calibri" w:eastAsia="Arial" w:hAnsi="Calibri" w:cs="Calibri"/>
          <w:color w:val="000000"/>
          <w:lang w:val="en-GB"/>
        </w:rPr>
        <w:t xml:space="preserve"> a public services contract or make a general rule, the claim form must be filed within the applicable </w:t>
      </w:r>
      <w:proofErr w:type="gramStart"/>
      <w:r w:rsidRPr="00713AB4">
        <w:rPr>
          <w:rFonts w:ascii="Calibri" w:eastAsia="Arial" w:hAnsi="Calibri" w:cs="Calibri"/>
          <w:color w:val="000000"/>
          <w:lang w:val="en-GB"/>
        </w:rPr>
        <w:t>time period</w:t>
      </w:r>
      <w:proofErr w:type="gramEnd"/>
      <w:r w:rsidRPr="00713AB4">
        <w:rPr>
          <w:rFonts w:ascii="Calibri" w:eastAsia="Arial" w:hAnsi="Calibri" w:cs="Calibri"/>
          <w:color w:val="000000"/>
          <w:lang w:val="en-GB"/>
        </w:rPr>
        <w:t xml:space="preserve"> specified in regulation 24(1) of those Regulations.</w:t>
      </w:r>
    </w:p>
    <w:p w14:paraId="044DB907" w14:textId="77777777" w:rsidR="00EA1DAF" w:rsidRPr="00713AB4" w:rsidRDefault="00152920" w:rsidP="00EA1DAF">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Section 31(6) of the Senior Courts Act 1981 states:</w:t>
      </w:r>
    </w:p>
    <w:p w14:paraId="44D40289" w14:textId="22251971" w:rsidR="00152920" w:rsidRPr="00713AB4" w:rsidRDefault="00152920" w:rsidP="006E6EC0">
      <w:pPr>
        <w:pStyle w:val="ListParagraph"/>
        <w:numPr>
          <w:ilvl w:val="0"/>
          <w:numId w:val="35"/>
        </w:numPr>
        <w:spacing w:after="240" w:line="360" w:lineRule="auto"/>
        <w:ind w:left="1418" w:hanging="567"/>
        <w:jc w:val="both"/>
        <w:rPr>
          <w:rFonts w:ascii="Calibri" w:eastAsia="Arial" w:hAnsi="Calibri" w:cs="Calibri"/>
          <w:color w:val="000000"/>
          <w:lang w:val="en-GB"/>
        </w:rPr>
      </w:pPr>
      <w:r w:rsidRPr="00713AB4">
        <w:rPr>
          <w:rFonts w:ascii="Calibri" w:eastAsia="Arial" w:hAnsi="Calibri" w:cs="Calibri"/>
          <w:color w:val="000000"/>
          <w:lang w:val="en-GB"/>
        </w:rPr>
        <w:t>Where the High Court considers that there has been undue delay in making an application for judicial review, the court may refuse to grant—</w:t>
      </w:r>
    </w:p>
    <w:p w14:paraId="147220C8" w14:textId="77777777" w:rsidR="00152920" w:rsidRPr="00713AB4" w:rsidRDefault="00152920">
      <w:pPr>
        <w:numPr>
          <w:ilvl w:val="0"/>
          <w:numId w:val="3"/>
        </w:numPr>
        <w:tabs>
          <w:tab w:val="clear" w:pos="360"/>
          <w:tab w:val="left" w:pos="2160"/>
        </w:tabs>
        <w:spacing w:after="240" w:line="360" w:lineRule="auto"/>
        <w:ind w:left="2160" w:right="85" w:hanging="360"/>
        <w:jc w:val="both"/>
        <w:textAlignment w:val="baseline"/>
        <w:rPr>
          <w:rFonts w:ascii="Calibri" w:eastAsia="Arial" w:hAnsi="Calibri" w:cs="Calibri"/>
          <w:color w:val="000000"/>
          <w:lang w:val="en-GB"/>
        </w:rPr>
      </w:pPr>
      <w:r w:rsidRPr="00713AB4">
        <w:rPr>
          <w:rFonts w:ascii="Calibri" w:eastAsia="Arial" w:hAnsi="Calibri" w:cs="Calibri"/>
          <w:color w:val="000000"/>
          <w:lang w:val="en-GB"/>
        </w:rPr>
        <w:t>leave for making of the application; or</w:t>
      </w:r>
    </w:p>
    <w:p w14:paraId="5E901DCF" w14:textId="77777777" w:rsidR="002A4CA8" w:rsidRPr="00713AB4" w:rsidRDefault="00152920">
      <w:pPr>
        <w:numPr>
          <w:ilvl w:val="0"/>
          <w:numId w:val="3"/>
        </w:numPr>
        <w:tabs>
          <w:tab w:val="clear" w:pos="360"/>
          <w:tab w:val="left" w:pos="2160"/>
        </w:tabs>
        <w:spacing w:after="240" w:line="360" w:lineRule="auto"/>
        <w:ind w:left="2160" w:right="85" w:hanging="360"/>
        <w:jc w:val="both"/>
        <w:textAlignment w:val="baseline"/>
        <w:rPr>
          <w:rFonts w:ascii="Calibri" w:eastAsia="Arial" w:hAnsi="Calibri" w:cs="Calibri"/>
          <w:color w:val="000000"/>
          <w:lang w:val="en-GB"/>
        </w:rPr>
      </w:pPr>
      <w:r w:rsidRPr="00713AB4">
        <w:rPr>
          <w:rFonts w:ascii="Calibri" w:eastAsia="Arial" w:hAnsi="Calibri" w:cs="Calibri"/>
          <w:color w:val="000000"/>
          <w:lang w:val="en-GB"/>
        </w:rPr>
        <w:t>any relief sought on the application,</w:t>
      </w:r>
    </w:p>
    <w:p w14:paraId="7960586B" w14:textId="147C376A" w:rsidR="00152920" w:rsidRPr="00713AB4" w:rsidRDefault="00152920" w:rsidP="006E6EC0">
      <w:pPr>
        <w:tabs>
          <w:tab w:val="left" w:pos="360"/>
          <w:tab w:val="left" w:pos="2160"/>
        </w:tabs>
        <w:spacing w:after="240" w:line="360" w:lineRule="auto"/>
        <w:ind w:left="1800" w:right="85"/>
        <w:jc w:val="both"/>
        <w:textAlignment w:val="baseline"/>
        <w:rPr>
          <w:rFonts w:ascii="Calibri" w:eastAsia="Arial" w:hAnsi="Calibri" w:cs="Calibri"/>
          <w:color w:val="000000"/>
          <w:lang w:val="en-GB"/>
        </w:rPr>
      </w:pPr>
      <w:r w:rsidRPr="00713AB4">
        <w:rPr>
          <w:rFonts w:ascii="Calibri" w:eastAsia="Arial" w:hAnsi="Calibri" w:cs="Calibri"/>
          <w:color w:val="000000"/>
          <w:lang w:val="en-GB"/>
        </w:rPr>
        <w:lastRenderedPageBreak/>
        <w:t>if it considers that the granting of the relief sought would be likely to cause substantial hardship to, or substantially prejudice the rights of, any person or would be detrimental to good administration.</w:t>
      </w:r>
    </w:p>
    <w:p w14:paraId="002CF0D1" w14:textId="4542CA60" w:rsidR="00152920"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The key points to note are as follows:</w:t>
      </w:r>
    </w:p>
    <w:p w14:paraId="7840C421" w14:textId="77777777" w:rsidR="003C2CAB" w:rsidRPr="00713AB4" w:rsidRDefault="00152920">
      <w:pPr>
        <w:pStyle w:val="ListParagraph"/>
        <w:numPr>
          <w:ilvl w:val="0"/>
          <w:numId w:val="20"/>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In non-planning and non-procurement judicial review cases, the deadline for issuing a claim is “promptly” – it is not “3 months”, which is no more than a long stop. </w:t>
      </w:r>
      <w:proofErr w:type="gramStart"/>
      <w:r w:rsidRPr="00713AB4">
        <w:rPr>
          <w:rFonts w:ascii="Calibri" w:eastAsia="Arial" w:hAnsi="Calibri" w:cs="Calibri"/>
          <w:color w:val="000000"/>
          <w:sz w:val="24"/>
          <w:szCs w:val="24"/>
          <w:lang w:val="en-GB"/>
        </w:rPr>
        <w:t>So</w:t>
      </w:r>
      <w:proofErr w:type="gramEnd"/>
      <w:r w:rsidRPr="00713AB4">
        <w:rPr>
          <w:rFonts w:ascii="Calibri" w:eastAsia="Arial" w:hAnsi="Calibri" w:cs="Calibri"/>
          <w:color w:val="000000"/>
          <w:sz w:val="24"/>
          <w:szCs w:val="24"/>
          <w:lang w:val="en-GB"/>
        </w:rPr>
        <w:t xml:space="preserve"> a claim can be brought within 3 </w:t>
      </w:r>
      <w:proofErr w:type="gramStart"/>
      <w:r w:rsidRPr="00713AB4">
        <w:rPr>
          <w:rFonts w:ascii="Calibri" w:eastAsia="Arial" w:hAnsi="Calibri" w:cs="Calibri"/>
          <w:color w:val="000000"/>
          <w:sz w:val="24"/>
          <w:szCs w:val="24"/>
          <w:lang w:val="en-GB"/>
        </w:rPr>
        <w:t>months, but</w:t>
      </w:r>
      <w:proofErr w:type="gramEnd"/>
      <w:r w:rsidRPr="00713AB4">
        <w:rPr>
          <w:rFonts w:ascii="Calibri" w:eastAsia="Arial" w:hAnsi="Calibri" w:cs="Calibri"/>
          <w:color w:val="000000"/>
          <w:sz w:val="24"/>
          <w:szCs w:val="24"/>
          <w:lang w:val="en-GB"/>
        </w:rPr>
        <w:t xml:space="preserve"> may fail because the court concludes that it was not brought “promptly” and so was issued out of time.</w:t>
      </w:r>
    </w:p>
    <w:p w14:paraId="0FEC7A5C" w14:textId="77777777" w:rsidR="003C2CAB" w:rsidRPr="00713AB4" w:rsidRDefault="00152920">
      <w:pPr>
        <w:pStyle w:val="ListParagraph"/>
        <w:numPr>
          <w:ilvl w:val="0"/>
          <w:numId w:val="20"/>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 meaning of “promptly” is a matter for the </w:t>
      </w:r>
      <w:proofErr w:type="gramStart"/>
      <w:r w:rsidRPr="00713AB4">
        <w:rPr>
          <w:rFonts w:ascii="Calibri" w:eastAsia="Arial" w:hAnsi="Calibri" w:cs="Calibri"/>
          <w:color w:val="000000"/>
          <w:sz w:val="24"/>
          <w:szCs w:val="24"/>
          <w:lang w:val="en-GB"/>
        </w:rPr>
        <w:t>court, and</w:t>
      </w:r>
      <w:proofErr w:type="gramEnd"/>
      <w:r w:rsidRPr="00713AB4">
        <w:rPr>
          <w:rFonts w:ascii="Calibri" w:eastAsia="Arial" w:hAnsi="Calibri" w:cs="Calibri"/>
          <w:color w:val="000000"/>
          <w:sz w:val="24"/>
          <w:szCs w:val="24"/>
          <w:lang w:val="en-GB"/>
        </w:rPr>
        <w:t xml:space="preserve"> cannot be determined by agreement between the parties. </w:t>
      </w:r>
      <w:proofErr w:type="gramStart"/>
      <w:r w:rsidRPr="00713AB4">
        <w:rPr>
          <w:rFonts w:ascii="Calibri" w:eastAsia="Arial" w:hAnsi="Calibri" w:cs="Calibri"/>
          <w:color w:val="000000"/>
          <w:sz w:val="24"/>
          <w:szCs w:val="24"/>
          <w:lang w:val="en-GB"/>
        </w:rPr>
        <w:t>So</w:t>
      </w:r>
      <w:proofErr w:type="gramEnd"/>
      <w:r w:rsidRPr="00713AB4">
        <w:rPr>
          <w:rFonts w:ascii="Calibri" w:eastAsia="Arial" w:hAnsi="Calibri" w:cs="Calibri"/>
          <w:color w:val="000000"/>
          <w:sz w:val="24"/>
          <w:szCs w:val="24"/>
          <w:lang w:val="en-GB"/>
        </w:rPr>
        <w:t xml:space="preserve"> the fact that the parties may agree between themselves that a claim has been brought promptly, does not prevent the court from dismissing the claim on the basis that it was issued out of time.</w:t>
      </w:r>
    </w:p>
    <w:p w14:paraId="162ADDFB" w14:textId="69D52EC3" w:rsidR="001D5DA8" w:rsidRPr="00713AB4" w:rsidRDefault="00152920" w:rsidP="00022E42">
      <w:pPr>
        <w:pStyle w:val="ListParagraph"/>
        <w:numPr>
          <w:ilvl w:val="0"/>
          <w:numId w:val="20"/>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Where the relief sought by the judicial review </w:t>
      </w:r>
      <w:r w:rsidR="00084E3C" w:rsidRPr="00713AB4">
        <w:rPr>
          <w:rFonts w:ascii="Calibri" w:eastAsia="Arial" w:hAnsi="Calibri" w:cs="Calibri"/>
          <w:color w:val="000000"/>
          <w:sz w:val="24"/>
          <w:szCs w:val="24"/>
          <w:lang w:val="en-GB"/>
        </w:rPr>
        <w:t>C</w:t>
      </w:r>
      <w:r w:rsidRPr="00713AB4">
        <w:rPr>
          <w:rFonts w:ascii="Calibri" w:eastAsia="Arial" w:hAnsi="Calibri" w:cs="Calibri"/>
          <w:color w:val="000000"/>
          <w:sz w:val="24"/>
          <w:szCs w:val="24"/>
          <w:lang w:val="en-GB"/>
        </w:rPr>
        <w:t>laimant is considered likely to cause substantial hardship to</w:t>
      </w:r>
      <w:r w:rsidR="00813745" w:rsidRPr="00713AB4">
        <w:rPr>
          <w:rFonts w:ascii="Calibri" w:eastAsia="Arial" w:hAnsi="Calibri" w:cs="Calibri"/>
          <w:color w:val="000000"/>
          <w:sz w:val="24"/>
          <w:szCs w:val="24"/>
          <w:lang w:val="en-GB"/>
        </w:rPr>
        <w:t xml:space="preserve"> third</w:t>
      </w:r>
      <w:r w:rsidRPr="00713AB4">
        <w:rPr>
          <w:rFonts w:ascii="Calibri" w:eastAsia="Arial" w:hAnsi="Calibri" w:cs="Calibri"/>
          <w:color w:val="000000"/>
          <w:sz w:val="24"/>
          <w:szCs w:val="24"/>
          <w:lang w:val="en-GB"/>
        </w:rPr>
        <w:t xml:space="preserve"> parties or to good administration, there is a risk that a delay in filing will be considered </w:t>
      </w:r>
      <w:r w:rsidR="00022C9B" w:rsidRPr="00713AB4">
        <w:rPr>
          <w:rFonts w:ascii="Calibri" w:eastAsia="Arial" w:hAnsi="Calibri" w:cs="Calibri"/>
          <w:color w:val="000000"/>
          <w:sz w:val="24"/>
          <w:szCs w:val="24"/>
          <w:lang w:val="en-GB"/>
        </w:rPr>
        <w:t>undue and</w:t>
      </w:r>
      <w:r w:rsidRPr="00713AB4">
        <w:rPr>
          <w:rFonts w:ascii="Calibri" w:eastAsia="Arial" w:hAnsi="Calibri" w:cs="Calibri"/>
          <w:color w:val="000000"/>
          <w:sz w:val="24"/>
          <w:szCs w:val="24"/>
          <w:lang w:val="en-GB"/>
        </w:rPr>
        <w:t xml:space="preserve"> will therefore result in leave or relief being refused. In such cases it is particularly important that delay in filing the claim is kept to an absolute minimum.</w:t>
      </w:r>
    </w:p>
    <w:p w14:paraId="0D0C3E23" w14:textId="0A4524C5" w:rsidR="000F6031" w:rsidRPr="00713AB4" w:rsidRDefault="00C92C05" w:rsidP="00713AB4">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There has been important consideration of these issues by the Divisional Court and Court of Appeal in the recent litigation over the sale of Bulb by the Government out of administration to Octopus, which was challenged by British Gas and other major energy suppliers in </w:t>
      </w:r>
      <w:r w:rsidRPr="00713AB4">
        <w:rPr>
          <w:rFonts w:ascii="Calibri" w:eastAsia="Arial" w:hAnsi="Calibri" w:cs="Calibri"/>
          <w:i/>
          <w:iCs/>
          <w:color w:val="000000"/>
          <w:sz w:val="24"/>
          <w:szCs w:val="24"/>
          <w:lang w:val="en-GB"/>
        </w:rPr>
        <w:t>R (British Gas &amp; Ors) v Secretary of State for Energy Security and Net Zero</w:t>
      </w:r>
      <w:r w:rsidRPr="00713AB4">
        <w:rPr>
          <w:rFonts w:ascii="Calibri" w:eastAsia="Arial" w:hAnsi="Calibri" w:cs="Calibri"/>
          <w:color w:val="000000"/>
          <w:sz w:val="24"/>
          <w:szCs w:val="24"/>
          <w:lang w:val="en-GB"/>
        </w:rPr>
        <w:t xml:space="preserve"> [2023] EWHC 737 (Admin)</w:t>
      </w:r>
      <w:r w:rsidR="00AE73AD" w:rsidRPr="00713AB4">
        <w:rPr>
          <w:rFonts w:ascii="Calibri" w:eastAsia="Arial" w:hAnsi="Calibri" w:cs="Calibri"/>
          <w:color w:val="000000"/>
          <w:sz w:val="24"/>
          <w:szCs w:val="24"/>
          <w:lang w:val="en-GB"/>
        </w:rPr>
        <w:t xml:space="preserve"> ([134]-[159])</w:t>
      </w:r>
      <w:r w:rsidRPr="00713AB4">
        <w:rPr>
          <w:rFonts w:ascii="Calibri" w:eastAsia="Arial" w:hAnsi="Calibri" w:cs="Calibri"/>
          <w:color w:val="000000"/>
          <w:sz w:val="24"/>
          <w:szCs w:val="24"/>
          <w:lang w:val="en-GB"/>
        </w:rPr>
        <w:t xml:space="preserve"> and [2025] EWCA </w:t>
      </w:r>
      <w:proofErr w:type="spellStart"/>
      <w:r w:rsidRPr="00713AB4">
        <w:rPr>
          <w:rFonts w:ascii="Calibri" w:eastAsia="Arial" w:hAnsi="Calibri" w:cs="Calibri"/>
          <w:color w:val="000000"/>
          <w:sz w:val="24"/>
          <w:szCs w:val="24"/>
          <w:lang w:val="en-GB"/>
        </w:rPr>
        <w:t>Civ</w:t>
      </w:r>
      <w:proofErr w:type="spellEnd"/>
      <w:r w:rsidRPr="00713AB4">
        <w:rPr>
          <w:rFonts w:ascii="Calibri" w:eastAsia="Arial" w:hAnsi="Calibri" w:cs="Calibri"/>
          <w:color w:val="000000"/>
          <w:sz w:val="24"/>
          <w:szCs w:val="24"/>
          <w:lang w:val="en-GB"/>
        </w:rPr>
        <w:t xml:space="preserve"> 209</w:t>
      </w:r>
      <w:r w:rsidR="003F2A1F" w:rsidRPr="00713AB4">
        <w:rPr>
          <w:rFonts w:ascii="Calibri" w:eastAsia="Arial" w:hAnsi="Calibri" w:cs="Calibri"/>
          <w:color w:val="000000"/>
          <w:sz w:val="24"/>
          <w:szCs w:val="24"/>
          <w:lang w:val="en-GB"/>
        </w:rPr>
        <w:t>, [2025] 1 WLR 3342</w:t>
      </w:r>
      <w:r w:rsidR="00AE73AD" w:rsidRPr="00713AB4">
        <w:rPr>
          <w:rFonts w:ascii="Calibri" w:eastAsia="Arial" w:hAnsi="Calibri" w:cs="Calibri"/>
          <w:color w:val="000000"/>
          <w:sz w:val="24"/>
          <w:szCs w:val="24"/>
          <w:lang w:val="en-GB"/>
        </w:rPr>
        <w:t xml:space="preserve"> ([33]-[52])</w:t>
      </w:r>
      <w:r w:rsidRPr="00713AB4">
        <w:rPr>
          <w:rFonts w:ascii="Calibri" w:eastAsia="Arial" w:hAnsi="Calibri" w:cs="Calibri"/>
          <w:color w:val="000000"/>
          <w:sz w:val="24"/>
          <w:szCs w:val="24"/>
          <w:lang w:val="en-GB"/>
        </w:rPr>
        <w:t xml:space="preserve">. </w:t>
      </w:r>
      <w:r w:rsidR="00EF3BEE" w:rsidRPr="00713AB4">
        <w:rPr>
          <w:rFonts w:ascii="Calibri" w:eastAsia="Arial" w:hAnsi="Calibri" w:cs="Calibri"/>
          <w:color w:val="000000"/>
          <w:sz w:val="24"/>
          <w:szCs w:val="24"/>
          <w:lang w:val="en-GB"/>
        </w:rPr>
        <w:t xml:space="preserve">The judgments focus on the importance of moving very quickly where the circumstances require it – e.g. where there would be an adverse effect on good administration or where third parties are relying on the lawfulness of an important decision. Here, taking even a few weeks to bring a claim was sufficient – in the view of the Divisional Court and the Court of Appeal – to mean that any claim </w:t>
      </w:r>
      <w:r w:rsidR="00EF3BEE" w:rsidRPr="00713AB4">
        <w:rPr>
          <w:rFonts w:ascii="Calibri" w:eastAsia="Arial" w:hAnsi="Calibri" w:cs="Calibri"/>
          <w:color w:val="000000"/>
          <w:sz w:val="24"/>
          <w:szCs w:val="24"/>
          <w:lang w:val="en-GB"/>
        </w:rPr>
        <w:lastRenderedPageBreak/>
        <w:t>seeking a remedy that would reverse the transaction which had seen Bulb sold to Octopus would be time-barred.</w:t>
      </w:r>
      <w:r w:rsidR="00D75818" w:rsidRPr="00713AB4">
        <w:rPr>
          <w:rFonts w:ascii="Calibri" w:eastAsia="Arial" w:hAnsi="Calibri" w:cs="Calibri"/>
          <w:color w:val="000000"/>
          <w:sz w:val="24"/>
          <w:szCs w:val="24"/>
          <w:lang w:val="en-GB"/>
        </w:rPr>
        <w:t xml:space="preserve"> However, the Court of Appeal said that the aspects of the claim seeking other forms of remedy, such as financial recovery of any unlawful subsidy, would not be time-barred (although it rejected them on the merits).</w:t>
      </w:r>
    </w:p>
    <w:p w14:paraId="3ECACCB6" w14:textId="362A772E" w:rsidR="00152920" w:rsidRPr="00713AB4" w:rsidRDefault="00152920" w:rsidP="001D5DA8">
      <w:pPr>
        <w:spacing w:after="240" w:line="360" w:lineRule="auto"/>
        <w:ind w:left="720"/>
        <w:jc w:val="both"/>
        <w:rPr>
          <w:rFonts w:ascii="Calibri" w:eastAsia="Arial" w:hAnsi="Calibri" w:cs="Calibri"/>
          <w:i/>
          <w:iCs/>
          <w:color w:val="000000"/>
          <w:sz w:val="24"/>
          <w:szCs w:val="24"/>
          <w:lang w:val="en-GB"/>
        </w:rPr>
      </w:pPr>
      <w:r w:rsidRPr="00713AB4">
        <w:rPr>
          <w:rFonts w:ascii="Calibri" w:eastAsia="Arial" w:hAnsi="Calibri" w:cs="Calibri"/>
          <w:i/>
          <w:iCs/>
          <w:color w:val="000000"/>
          <w:sz w:val="24"/>
          <w:szCs w:val="24"/>
          <w:lang w:val="en-GB"/>
        </w:rPr>
        <w:t>Continuing</w:t>
      </w:r>
      <w:r w:rsidRPr="00713AB4">
        <w:rPr>
          <w:rFonts w:ascii="Calibri" w:eastAsia="Arial" w:hAnsi="Calibri" w:cs="Calibri"/>
          <w:i/>
          <w:iCs/>
          <w:color w:val="000000"/>
          <w:spacing w:val="-1"/>
          <w:sz w:val="24"/>
          <w:szCs w:val="24"/>
          <w:lang w:val="en-GB"/>
        </w:rPr>
        <w:t xml:space="preserve"> failures or unlawful actions </w:t>
      </w:r>
    </w:p>
    <w:p w14:paraId="5DC5962F" w14:textId="27566EE1" w:rsidR="00152920"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Though grounds will first arise when the conduct in question becomes unlawful, challenges may be entertained by the court </w:t>
      </w:r>
      <w:proofErr w:type="spellStart"/>
      <w:r w:rsidRPr="00713AB4">
        <w:rPr>
          <w:rFonts w:ascii="Calibri" w:eastAsia="Arial" w:hAnsi="Calibri" w:cs="Calibri"/>
          <w:color w:val="000000"/>
          <w:sz w:val="24"/>
          <w:szCs w:val="24"/>
          <w:lang w:val="en-GB"/>
        </w:rPr>
        <w:t>some time</w:t>
      </w:r>
      <w:proofErr w:type="spellEnd"/>
      <w:r w:rsidRPr="00713AB4">
        <w:rPr>
          <w:rFonts w:ascii="Calibri" w:eastAsia="Arial" w:hAnsi="Calibri" w:cs="Calibri"/>
          <w:color w:val="000000"/>
          <w:sz w:val="24"/>
          <w:szCs w:val="24"/>
          <w:lang w:val="en-GB"/>
        </w:rPr>
        <w:t xml:space="preserve"> after that. For example, a court may permit a challenge to an unlawful policy to be brought months or even years after the policy’s inception if it is brought by a </w:t>
      </w:r>
      <w:r w:rsidR="00084E3C" w:rsidRPr="00713AB4">
        <w:rPr>
          <w:rFonts w:ascii="Calibri" w:eastAsia="Arial" w:hAnsi="Calibri" w:cs="Calibri"/>
          <w:color w:val="000000"/>
          <w:sz w:val="24"/>
          <w:szCs w:val="24"/>
          <w:lang w:val="en-GB"/>
        </w:rPr>
        <w:t>C</w:t>
      </w:r>
      <w:r w:rsidRPr="00713AB4">
        <w:rPr>
          <w:rFonts w:ascii="Calibri" w:eastAsia="Arial" w:hAnsi="Calibri" w:cs="Calibri"/>
          <w:color w:val="000000"/>
          <w:sz w:val="24"/>
          <w:szCs w:val="24"/>
          <w:lang w:val="en-GB"/>
        </w:rPr>
        <w:t xml:space="preserve">laimant in a timely manner </w:t>
      </w:r>
      <w:r w:rsidR="00A12614" w:rsidRPr="00713AB4">
        <w:rPr>
          <w:rFonts w:ascii="Calibri" w:eastAsia="Arial" w:hAnsi="Calibri" w:cs="Calibri"/>
          <w:color w:val="000000"/>
          <w:sz w:val="24"/>
          <w:szCs w:val="24"/>
          <w:lang w:val="en-GB"/>
        </w:rPr>
        <w:t xml:space="preserve">after </w:t>
      </w:r>
      <w:r w:rsidRPr="00713AB4">
        <w:rPr>
          <w:rFonts w:ascii="Calibri" w:eastAsia="Arial" w:hAnsi="Calibri" w:cs="Calibri"/>
          <w:color w:val="000000"/>
          <w:sz w:val="24"/>
          <w:szCs w:val="24"/>
          <w:lang w:val="en-GB"/>
        </w:rPr>
        <w:t>the policy is applied to him or her.</w:t>
      </w:r>
    </w:p>
    <w:p w14:paraId="1BEE01AE" w14:textId="78FD288A" w:rsidR="006C018B" w:rsidRDefault="006C018B" w:rsidP="006C018B">
      <w:pPr>
        <w:spacing w:after="240" w:line="360" w:lineRule="auto"/>
        <w:ind w:left="720"/>
        <w:jc w:val="both"/>
        <w:rPr>
          <w:rFonts w:ascii="Calibri" w:eastAsia="Arial" w:hAnsi="Calibri" w:cs="Calibri"/>
          <w:i/>
          <w:iCs/>
          <w:color w:val="000000"/>
          <w:sz w:val="24"/>
          <w:szCs w:val="24"/>
          <w:lang w:val="en-GB"/>
        </w:rPr>
      </w:pPr>
      <w:r>
        <w:rPr>
          <w:rFonts w:ascii="Calibri" w:eastAsia="Arial" w:hAnsi="Calibri" w:cs="Calibri"/>
          <w:i/>
          <w:iCs/>
          <w:color w:val="000000"/>
          <w:sz w:val="24"/>
          <w:szCs w:val="24"/>
          <w:lang w:val="en-GB"/>
        </w:rPr>
        <w:t>Urgency, interim relief and/or expedition</w:t>
      </w:r>
    </w:p>
    <w:p w14:paraId="4E6A87F6" w14:textId="77777777" w:rsidR="00934489" w:rsidRDefault="006C018B" w:rsidP="006C018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Urgent proceedings and applications for interim relief are becoming more common. They are difficult to navigate. An application for urgent consideration cannot be made lightly. It requires the use of a specific form known as an N463. A practitioner who misuses the procedure risks being hauled up before the court to answer for their conduct under the </w:t>
      </w:r>
      <w:r w:rsidRPr="007A527C">
        <w:rPr>
          <w:rFonts w:ascii="Calibri" w:eastAsia="Arial" w:hAnsi="Calibri" w:cs="Calibri"/>
          <w:i/>
          <w:iCs/>
          <w:color w:val="000000"/>
          <w:sz w:val="24"/>
          <w:szCs w:val="24"/>
          <w:lang w:val="en-GB"/>
        </w:rPr>
        <w:t xml:space="preserve">Hamid </w:t>
      </w:r>
      <w:r w:rsidRPr="007A527C">
        <w:rPr>
          <w:rFonts w:ascii="Calibri" w:eastAsia="Arial" w:hAnsi="Calibri" w:cs="Calibri"/>
          <w:color w:val="000000"/>
          <w:sz w:val="24"/>
          <w:szCs w:val="24"/>
          <w:lang w:val="en-GB"/>
        </w:rPr>
        <w:t>jurisdiction. It can be hard to judge when urgency is required and how much urgency is required: the Administrative Court can move very quickly if it needs to</w:t>
      </w:r>
      <w:r w:rsidR="00C92FE8">
        <w:rPr>
          <w:rFonts w:ascii="Calibri" w:eastAsia="Arial" w:hAnsi="Calibri" w:cs="Calibri"/>
          <w:color w:val="000000"/>
          <w:sz w:val="24"/>
          <w:szCs w:val="24"/>
          <w:lang w:val="en-GB"/>
        </w:rPr>
        <w:t xml:space="preserve"> do so</w:t>
      </w:r>
      <w:r w:rsidRPr="007A527C">
        <w:rPr>
          <w:rFonts w:ascii="Calibri" w:eastAsia="Arial" w:hAnsi="Calibri" w:cs="Calibri"/>
          <w:color w:val="000000"/>
          <w:sz w:val="24"/>
          <w:szCs w:val="24"/>
          <w:lang w:val="en-GB"/>
        </w:rPr>
        <w:t xml:space="preserve">. </w:t>
      </w:r>
    </w:p>
    <w:p w14:paraId="436D617B" w14:textId="46C30E6E" w:rsidR="006C018B" w:rsidRPr="007A527C" w:rsidRDefault="00934489" w:rsidP="006C018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Pr>
          <w:rFonts w:ascii="Calibri" w:eastAsia="Arial" w:hAnsi="Calibri" w:cs="Calibri"/>
          <w:color w:val="000000"/>
          <w:sz w:val="24"/>
          <w:szCs w:val="24"/>
          <w:lang w:val="en-GB"/>
        </w:rPr>
        <w:t xml:space="preserve">Urgent applications are likely in many cases to be accompanied by applications for interim relief – often an injunction to prevent </w:t>
      </w:r>
      <w:r w:rsidR="00570FDC">
        <w:rPr>
          <w:rFonts w:ascii="Calibri" w:eastAsia="Arial" w:hAnsi="Calibri" w:cs="Calibri"/>
          <w:color w:val="000000"/>
          <w:sz w:val="24"/>
          <w:szCs w:val="24"/>
          <w:lang w:val="en-GB"/>
        </w:rPr>
        <w:t xml:space="preserve">something allegedly unlawful from happening. </w:t>
      </w:r>
      <w:r w:rsidR="00A16AE9">
        <w:rPr>
          <w:rFonts w:ascii="Calibri" w:eastAsia="Arial" w:hAnsi="Calibri" w:cs="Calibri"/>
          <w:color w:val="000000"/>
          <w:sz w:val="24"/>
          <w:szCs w:val="24"/>
          <w:lang w:val="en-GB"/>
        </w:rPr>
        <w:t xml:space="preserve">The test for an injunction in judicial review proceedings is the standard </w:t>
      </w:r>
      <w:r w:rsidR="00A16AE9">
        <w:rPr>
          <w:rFonts w:ascii="Calibri" w:eastAsia="Arial" w:hAnsi="Calibri" w:cs="Calibri"/>
          <w:i/>
          <w:iCs/>
          <w:color w:val="000000"/>
          <w:sz w:val="24"/>
          <w:szCs w:val="24"/>
          <w:lang w:val="en-GB"/>
        </w:rPr>
        <w:t xml:space="preserve">American Cyanamid </w:t>
      </w:r>
      <w:r w:rsidR="00A16AE9">
        <w:rPr>
          <w:rFonts w:ascii="Calibri" w:eastAsia="Arial" w:hAnsi="Calibri" w:cs="Calibri"/>
          <w:color w:val="000000"/>
          <w:sz w:val="24"/>
          <w:szCs w:val="24"/>
          <w:lang w:val="en-GB"/>
        </w:rPr>
        <w:t xml:space="preserve">test but modified for the public law context: (a) is there a serious question to be tried?; (b) would damages be an adequate remedy if an injunction were or were not granted?; (c) where does the balance of convenience lie? </w:t>
      </w:r>
      <w:r>
        <w:rPr>
          <w:rFonts w:ascii="Calibri" w:eastAsia="Arial" w:hAnsi="Calibri" w:cs="Calibri"/>
          <w:color w:val="000000"/>
          <w:sz w:val="24"/>
          <w:szCs w:val="24"/>
          <w:lang w:val="en-GB"/>
        </w:rPr>
        <w:t xml:space="preserve"> </w:t>
      </w:r>
      <w:r w:rsidR="00A16AE9">
        <w:rPr>
          <w:rFonts w:ascii="Calibri" w:eastAsia="Arial" w:hAnsi="Calibri" w:cs="Calibri"/>
          <w:color w:val="000000"/>
          <w:sz w:val="24"/>
          <w:szCs w:val="24"/>
          <w:lang w:val="en-GB"/>
        </w:rPr>
        <w:t xml:space="preserve">The wider public interest in a public body being able to act on its decisions is </w:t>
      </w:r>
      <w:proofErr w:type="gramStart"/>
      <w:r w:rsidR="00A16AE9">
        <w:rPr>
          <w:rFonts w:ascii="Calibri" w:eastAsia="Arial" w:hAnsi="Calibri" w:cs="Calibri"/>
          <w:color w:val="000000"/>
          <w:sz w:val="24"/>
          <w:szCs w:val="24"/>
          <w:lang w:val="en-GB"/>
        </w:rPr>
        <w:t>taken into account</w:t>
      </w:r>
      <w:proofErr w:type="gramEnd"/>
      <w:r w:rsidR="00A16AE9">
        <w:rPr>
          <w:rFonts w:ascii="Calibri" w:eastAsia="Arial" w:hAnsi="Calibri" w:cs="Calibri"/>
          <w:color w:val="000000"/>
          <w:sz w:val="24"/>
          <w:szCs w:val="24"/>
          <w:lang w:val="en-GB"/>
        </w:rPr>
        <w:t xml:space="preserve"> at the balance of convenience stage and therefore a court will be reluctant to grant interim relief in the absence of a strong prima facie case. See, for example, the ‘Rwanda policy’ challenge: </w:t>
      </w:r>
      <w:r w:rsidR="00A16AE9">
        <w:rPr>
          <w:rFonts w:ascii="Calibri" w:eastAsia="Arial" w:hAnsi="Calibri" w:cs="Calibri"/>
          <w:i/>
          <w:iCs/>
          <w:color w:val="000000"/>
          <w:sz w:val="24"/>
          <w:szCs w:val="24"/>
          <w:lang w:val="en-GB"/>
        </w:rPr>
        <w:t xml:space="preserve">R (Public and Commercial Services Union) v Secretary of State for the Home </w:t>
      </w:r>
      <w:r w:rsidR="00A16AE9">
        <w:rPr>
          <w:rFonts w:ascii="Calibri" w:eastAsia="Arial" w:hAnsi="Calibri" w:cs="Calibri"/>
          <w:i/>
          <w:iCs/>
          <w:color w:val="000000"/>
          <w:sz w:val="24"/>
          <w:szCs w:val="24"/>
          <w:lang w:val="en-GB"/>
        </w:rPr>
        <w:lastRenderedPageBreak/>
        <w:t>Department</w:t>
      </w:r>
      <w:r w:rsidR="00A16AE9">
        <w:rPr>
          <w:rFonts w:ascii="Calibri" w:eastAsia="Arial" w:hAnsi="Calibri" w:cs="Calibri"/>
          <w:color w:val="000000"/>
          <w:sz w:val="24"/>
          <w:szCs w:val="24"/>
          <w:lang w:val="en-GB"/>
        </w:rPr>
        <w:t xml:space="preserve"> [2022] EWCA </w:t>
      </w:r>
      <w:proofErr w:type="spellStart"/>
      <w:r w:rsidR="00A16AE9">
        <w:rPr>
          <w:rFonts w:ascii="Calibri" w:eastAsia="Arial" w:hAnsi="Calibri" w:cs="Calibri"/>
          <w:color w:val="000000"/>
          <w:sz w:val="24"/>
          <w:szCs w:val="24"/>
          <w:lang w:val="en-GB"/>
        </w:rPr>
        <w:t>Civ</w:t>
      </w:r>
      <w:proofErr w:type="spellEnd"/>
      <w:r w:rsidR="00A16AE9">
        <w:rPr>
          <w:rFonts w:ascii="Calibri" w:eastAsia="Arial" w:hAnsi="Calibri" w:cs="Calibri"/>
          <w:color w:val="000000"/>
          <w:sz w:val="24"/>
          <w:szCs w:val="24"/>
          <w:lang w:val="en-GB"/>
        </w:rPr>
        <w:t xml:space="preserve"> 840; </w:t>
      </w:r>
      <w:r w:rsidR="00A16AE9">
        <w:rPr>
          <w:rFonts w:ascii="Calibri" w:eastAsia="Arial" w:hAnsi="Calibri" w:cs="Calibri"/>
          <w:i/>
          <w:iCs/>
          <w:color w:val="000000"/>
          <w:sz w:val="24"/>
          <w:szCs w:val="24"/>
          <w:lang w:val="en-GB"/>
        </w:rPr>
        <w:t>R (A) v Secretary of State for the Home Department</w:t>
      </w:r>
      <w:r w:rsidR="00A16AE9">
        <w:rPr>
          <w:rFonts w:ascii="Calibri" w:eastAsia="Arial" w:hAnsi="Calibri" w:cs="Calibri"/>
          <w:color w:val="000000"/>
          <w:sz w:val="24"/>
          <w:szCs w:val="24"/>
          <w:lang w:val="en-GB"/>
        </w:rPr>
        <w:t xml:space="preserve"> [2022] EWHC 1686 (Admin)</w:t>
      </w:r>
      <w:r w:rsidR="003C4878">
        <w:rPr>
          <w:rFonts w:ascii="Calibri" w:eastAsia="Arial" w:hAnsi="Calibri" w:cs="Calibri"/>
          <w:color w:val="000000"/>
          <w:sz w:val="24"/>
          <w:szCs w:val="24"/>
          <w:lang w:val="en-GB"/>
        </w:rPr>
        <w:t>.</w:t>
      </w:r>
    </w:p>
    <w:p w14:paraId="33328940" w14:textId="35BE74DE" w:rsidR="00152920" w:rsidRPr="00713AB4" w:rsidRDefault="00152920" w:rsidP="001D5DA8">
      <w:pPr>
        <w:spacing w:after="240" w:line="360" w:lineRule="auto"/>
        <w:ind w:left="357" w:right="85" w:firstLine="363"/>
        <w:jc w:val="both"/>
        <w:textAlignment w:val="baseline"/>
        <w:rPr>
          <w:rFonts w:ascii="Calibri" w:eastAsia="Arial" w:hAnsi="Calibri" w:cs="Calibri"/>
          <w:b/>
          <w:bCs/>
          <w:color w:val="000000"/>
          <w:sz w:val="24"/>
          <w:szCs w:val="24"/>
          <w:lang w:val="en-GB"/>
        </w:rPr>
      </w:pPr>
      <w:r w:rsidRPr="00713AB4">
        <w:rPr>
          <w:rFonts w:ascii="Calibri" w:eastAsia="Arial" w:hAnsi="Calibri" w:cs="Calibri"/>
          <w:b/>
          <w:bCs/>
          <w:color w:val="000000"/>
          <w:sz w:val="24"/>
          <w:szCs w:val="24"/>
          <w:lang w:val="en-GB"/>
        </w:rPr>
        <w:t>Who can bring a claim for judicial review?</w:t>
      </w:r>
    </w:p>
    <w:p w14:paraId="0F15C627" w14:textId="77777777" w:rsidR="00DD71D4"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Claimants seeking judicial review must demonstrate ‘sufficient interest’ or standing in the outcome of the proceedings </w:t>
      </w:r>
      <w:proofErr w:type="gramStart"/>
      <w:r w:rsidRPr="00713AB4">
        <w:rPr>
          <w:rFonts w:ascii="Calibri" w:eastAsia="Arial" w:hAnsi="Calibri" w:cs="Calibri"/>
          <w:color w:val="000000"/>
          <w:sz w:val="24"/>
          <w:szCs w:val="24"/>
          <w:lang w:val="en-GB"/>
        </w:rPr>
        <w:t>in order to</w:t>
      </w:r>
      <w:proofErr w:type="gramEnd"/>
      <w:r w:rsidRPr="00713AB4">
        <w:rPr>
          <w:rFonts w:ascii="Calibri" w:eastAsia="Arial" w:hAnsi="Calibri" w:cs="Calibri"/>
          <w:color w:val="000000"/>
          <w:sz w:val="24"/>
          <w:szCs w:val="24"/>
          <w:lang w:val="en-GB"/>
        </w:rPr>
        <w:t xml:space="preserve"> bring a case.</w:t>
      </w:r>
    </w:p>
    <w:p w14:paraId="0ACF7824" w14:textId="28EADD21" w:rsidR="003C2CAB" w:rsidRPr="00713AB4" w:rsidRDefault="00152920" w:rsidP="00B95F1D">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13AB4">
        <w:rPr>
          <w:rFonts w:ascii="Calibri" w:eastAsia="Arial" w:hAnsi="Calibri" w:cs="Calibri"/>
          <w:color w:val="000000"/>
          <w:sz w:val="24"/>
          <w:szCs w:val="24"/>
          <w:lang w:val="en-GB"/>
        </w:rPr>
        <w:t xml:space="preserve">Section 31(3) of the Senior Courts Act 1981 provides that: </w:t>
      </w:r>
    </w:p>
    <w:p w14:paraId="2CF99A76" w14:textId="77777777" w:rsidR="00FD4731" w:rsidRPr="00713AB4" w:rsidRDefault="00152920" w:rsidP="00022E42">
      <w:pPr>
        <w:pStyle w:val="ListParagraph"/>
        <w:spacing w:after="240" w:line="360" w:lineRule="auto"/>
        <w:ind w:left="1440" w:right="85"/>
        <w:contextualSpacing w:val="0"/>
        <w:jc w:val="both"/>
        <w:textAlignment w:val="baseline"/>
        <w:rPr>
          <w:rFonts w:ascii="Calibri" w:hAnsi="Calibri" w:cs="Calibri"/>
          <w:lang w:val="en-GB"/>
        </w:rPr>
      </w:pPr>
      <w:r w:rsidRPr="00713AB4">
        <w:rPr>
          <w:rFonts w:ascii="Calibri" w:hAnsi="Calibri" w:cs="Calibri"/>
          <w:lang w:val="en-GB"/>
        </w:rPr>
        <w:t>No application for judicial review shall be made unless the leave of the High Court has been obtained in accordance with the rules of court; and the court shall not grant leave to make such an application unless it considers that the applicant has a sufficient interest in the matter to which the application relates.</w:t>
      </w:r>
    </w:p>
    <w:p w14:paraId="21C59D26" w14:textId="50370E4F" w:rsidR="00093770" w:rsidRPr="00713AB4" w:rsidRDefault="00093770" w:rsidP="00B95F1D">
      <w:pPr>
        <w:numPr>
          <w:ilvl w:val="0"/>
          <w:numId w:val="5"/>
        </w:numPr>
        <w:tabs>
          <w:tab w:val="num" w:pos="717"/>
        </w:tabs>
        <w:spacing w:after="240" w:line="360" w:lineRule="auto"/>
        <w:ind w:hanging="720"/>
        <w:jc w:val="both"/>
        <w:rPr>
          <w:rFonts w:ascii="Calibri" w:hAnsi="Calibri" w:cs="Calibri"/>
          <w:sz w:val="24"/>
          <w:szCs w:val="24"/>
          <w:lang w:val="en-GB"/>
        </w:rPr>
      </w:pPr>
      <w:r w:rsidRPr="00713AB4">
        <w:rPr>
          <w:rFonts w:ascii="Calibri" w:hAnsi="Calibri" w:cs="Calibri"/>
          <w:sz w:val="24"/>
          <w:szCs w:val="24"/>
          <w:lang w:val="en-GB"/>
        </w:rPr>
        <w:t xml:space="preserve">This is mirrored </w:t>
      </w:r>
      <w:r w:rsidR="00350ECF" w:rsidRPr="00713AB4">
        <w:rPr>
          <w:rFonts w:ascii="Calibri" w:hAnsi="Calibri" w:cs="Calibri"/>
          <w:sz w:val="24"/>
          <w:szCs w:val="24"/>
          <w:lang w:val="en-GB"/>
        </w:rPr>
        <w:t>in</w:t>
      </w:r>
      <w:r w:rsidRPr="00713AB4">
        <w:rPr>
          <w:rFonts w:ascii="Calibri" w:hAnsi="Calibri" w:cs="Calibri"/>
          <w:sz w:val="24"/>
          <w:szCs w:val="24"/>
          <w:lang w:val="en-GB"/>
        </w:rPr>
        <w:t xml:space="preserve"> the UT (IAC) by </w:t>
      </w:r>
      <w:r w:rsidR="0076446B" w:rsidRPr="00713AB4">
        <w:rPr>
          <w:rFonts w:ascii="Calibri" w:hAnsi="Calibri" w:cs="Calibri"/>
          <w:sz w:val="24"/>
          <w:szCs w:val="24"/>
          <w:lang w:val="en-GB"/>
        </w:rPr>
        <w:t>section</w:t>
      </w:r>
      <w:r w:rsidR="00E75BB9" w:rsidRPr="00713AB4">
        <w:rPr>
          <w:rFonts w:ascii="Calibri" w:hAnsi="Calibri" w:cs="Calibri"/>
          <w:sz w:val="24"/>
          <w:szCs w:val="24"/>
          <w:lang w:val="en-GB"/>
        </w:rPr>
        <w:t xml:space="preserve"> </w:t>
      </w:r>
      <w:r w:rsidRPr="00713AB4">
        <w:rPr>
          <w:rFonts w:ascii="Calibri" w:hAnsi="Calibri" w:cs="Calibri"/>
          <w:sz w:val="24"/>
          <w:szCs w:val="24"/>
          <w:lang w:val="en-GB"/>
        </w:rPr>
        <w:t>16(3) Tribunals, Courts, and Enforcement Act 2007:</w:t>
      </w:r>
    </w:p>
    <w:p w14:paraId="090AAA3D" w14:textId="10A34171" w:rsidR="00093770" w:rsidRPr="00713AB4" w:rsidRDefault="00E358C0" w:rsidP="004746B8">
      <w:pPr>
        <w:spacing w:after="240" w:line="360" w:lineRule="auto"/>
        <w:ind w:left="1440"/>
        <w:jc w:val="both"/>
        <w:rPr>
          <w:rFonts w:ascii="Calibri" w:hAnsi="Calibri" w:cs="Calibri"/>
          <w:sz w:val="24"/>
          <w:szCs w:val="24"/>
          <w:lang w:val="en-GB"/>
        </w:rPr>
      </w:pPr>
      <w:r w:rsidRPr="00713AB4">
        <w:rPr>
          <w:rFonts w:ascii="Calibri" w:hAnsi="Calibri" w:cs="Calibri"/>
          <w:lang w:val="en-GB"/>
        </w:rPr>
        <w:t>The tribunal may not grant permission (or leave) to make the application unless it considers that the applicant has a sufficient interest in the matter to which the application relates.</w:t>
      </w:r>
    </w:p>
    <w:p w14:paraId="234A03A4" w14:textId="32FAA9B0" w:rsidR="00DD71D4" w:rsidRPr="00713AB4" w:rsidRDefault="00152920" w:rsidP="00B95F1D">
      <w:pPr>
        <w:numPr>
          <w:ilvl w:val="0"/>
          <w:numId w:val="5"/>
        </w:numPr>
        <w:tabs>
          <w:tab w:val="num" w:pos="717"/>
        </w:tabs>
        <w:spacing w:after="240" w:line="360" w:lineRule="auto"/>
        <w:ind w:hanging="720"/>
        <w:jc w:val="both"/>
        <w:rPr>
          <w:rFonts w:ascii="Calibri" w:hAnsi="Calibri" w:cs="Calibri"/>
          <w:sz w:val="24"/>
          <w:szCs w:val="24"/>
          <w:lang w:val="en-GB"/>
        </w:rPr>
      </w:pPr>
      <w:r w:rsidRPr="00713AB4">
        <w:rPr>
          <w:rFonts w:ascii="Calibri" w:hAnsi="Calibri" w:cs="Calibri"/>
          <w:sz w:val="24"/>
          <w:szCs w:val="24"/>
          <w:lang w:val="en-GB"/>
        </w:rPr>
        <w:t xml:space="preserve">As well as the person directly affected by the actions of the defendant having a ‘sufficient interest’, it has been held that, in some circumstances, applications can be made by pressure and public interest groups. This accords with the court’s </w:t>
      </w:r>
      <w:r w:rsidRPr="00713AB4">
        <w:rPr>
          <w:rFonts w:ascii="Calibri" w:eastAsia="Arial" w:hAnsi="Calibri" w:cs="Calibri"/>
          <w:color w:val="000000"/>
          <w:sz w:val="24"/>
          <w:szCs w:val="24"/>
          <w:lang w:val="en-GB"/>
        </w:rPr>
        <w:t>role</w:t>
      </w:r>
      <w:r w:rsidRPr="00713AB4">
        <w:rPr>
          <w:rFonts w:ascii="Calibri" w:hAnsi="Calibri" w:cs="Calibri"/>
          <w:sz w:val="24"/>
          <w:szCs w:val="24"/>
          <w:lang w:val="en-GB"/>
        </w:rPr>
        <w:t xml:space="preserve"> being one of exercising its supervisory jurisdiction over public bodies, rather than adjudicating over the rights of the individual.</w:t>
      </w:r>
      <w:r w:rsidR="00E711B8" w:rsidRPr="00713AB4">
        <w:rPr>
          <w:rFonts w:ascii="Calibri" w:hAnsi="Calibri" w:cs="Calibri"/>
          <w:sz w:val="24"/>
          <w:szCs w:val="24"/>
          <w:lang w:val="en-GB"/>
        </w:rPr>
        <w:t xml:space="preserve"> However, the court will often consider whether there </w:t>
      </w:r>
      <w:r w:rsidR="00866A4D" w:rsidRPr="00713AB4">
        <w:rPr>
          <w:rFonts w:ascii="Calibri" w:hAnsi="Calibri" w:cs="Calibri"/>
          <w:sz w:val="24"/>
          <w:szCs w:val="24"/>
          <w:lang w:val="en-GB"/>
        </w:rPr>
        <w:t>was a ‘better placed’</w:t>
      </w:r>
      <w:r w:rsidR="00F86D64" w:rsidRPr="00713AB4">
        <w:rPr>
          <w:rFonts w:ascii="Calibri" w:hAnsi="Calibri" w:cs="Calibri"/>
          <w:sz w:val="24"/>
          <w:szCs w:val="24"/>
          <w:lang w:val="en-GB"/>
        </w:rPr>
        <w:t xml:space="preserve"> individual</w:t>
      </w:r>
      <w:r w:rsidR="00866A4D" w:rsidRPr="00713AB4">
        <w:rPr>
          <w:rFonts w:ascii="Calibri" w:hAnsi="Calibri" w:cs="Calibri"/>
          <w:sz w:val="24"/>
          <w:szCs w:val="24"/>
          <w:lang w:val="en-GB"/>
        </w:rPr>
        <w:t xml:space="preserve"> challenger in considering the standing of pressure and public interest groups: see </w:t>
      </w:r>
      <w:r w:rsidR="00866A4D" w:rsidRPr="00713AB4">
        <w:rPr>
          <w:rFonts w:ascii="Calibri" w:hAnsi="Calibri" w:cs="Calibri"/>
          <w:i/>
          <w:iCs/>
          <w:sz w:val="24"/>
          <w:szCs w:val="24"/>
          <w:lang w:val="en-GB"/>
        </w:rPr>
        <w:t>R (AAA (Syria)) v SSHD</w:t>
      </w:r>
      <w:r w:rsidR="00866A4D" w:rsidRPr="00713AB4">
        <w:rPr>
          <w:rFonts w:ascii="Calibri" w:hAnsi="Calibri" w:cs="Calibri"/>
          <w:sz w:val="24"/>
          <w:szCs w:val="24"/>
          <w:lang w:val="en-GB"/>
        </w:rPr>
        <w:t xml:space="preserve"> [2022] EWHC 3230 (Admin)</w:t>
      </w:r>
      <w:r w:rsidR="00E75BB9" w:rsidRPr="00713AB4">
        <w:rPr>
          <w:rFonts w:ascii="Calibri" w:hAnsi="Calibri" w:cs="Calibri"/>
          <w:sz w:val="24"/>
          <w:szCs w:val="24"/>
          <w:lang w:val="en-GB"/>
        </w:rPr>
        <w:t>, [2023] HRLR 4</w:t>
      </w:r>
      <w:r w:rsidR="00866A4D" w:rsidRPr="00713AB4">
        <w:rPr>
          <w:rFonts w:ascii="Calibri" w:hAnsi="Calibri" w:cs="Calibri"/>
          <w:sz w:val="24"/>
          <w:szCs w:val="24"/>
          <w:lang w:val="en-GB"/>
        </w:rPr>
        <w:t xml:space="preserve"> at [</w:t>
      </w:r>
      <w:r w:rsidR="003D0D08" w:rsidRPr="00713AB4">
        <w:rPr>
          <w:rFonts w:ascii="Calibri" w:hAnsi="Calibri" w:cs="Calibri"/>
          <w:sz w:val="24"/>
          <w:szCs w:val="24"/>
          <w:lang w:val="en-GB"/>
        </w:rPr>
        <w:t>430]-[435]</w:t>
      </w:r>
      <w:r w:rsidR="00141EB1" w:rsidRPr="00713AB4">
        <w:rPr>
          <w:rFonts w:ascii="Calibri" w:hAnsi="Calibri" w:cs="Calibri"/>
          <w:sz w:val="24"/>
          <w:szCs w:val="24"/>
          <w:lang w:val="en-GB"/>
        </w:rPr>
        <w:t xml:space="preserve"> (individual asylum-seekers, civil service trade union, charities assisting refugees)</w:t>
      </w:r>
      <w:r w:rsidR="00866A4D" w:rsidRPr="00713AB4">
        <w:rPr>
          <w:rFonts w:ascii="Calibri" w:hAnsi="Calibri" w:cs="Calibri"/>
          <w:sz w:val="24"/>
          <w:szCs w:val="24"/>
          <w:lang w:val="en-GB"/>
        </w:rPr>
        <w:t xml:space="preserve">; </w:t>
      </w:r>
      <w:r w:rsidR="00866A4D" w:rsidRPr="00713AB4">
        <w:rPr>
          <w:rFonts w:ascii="Calibri" w:hAnsi="Calibri" w:cs="Calibri"/>
          <w:i/>
          <w:iCs/>
          <w:sz w:val="24"/>
          <w:szCs w:val="24"/>
          <w:lang w:val="en-GB"/>
        </w:rPr>
        <w:t>R (Good Law Project) v Prime Minister</w:t>
      </w:r>
      <w:r w:rsidR="00866A4D" w:rsidRPr="00713AB4">
        <w:rPr>
          <w:rFonts w:ascii="Calibri" w:hAnsi="Calibri" w:cs="Calibri"/>
          <w:sz w:val="24"/>
          <w:szCs w:val="24"/>
          <w:lang w:val="en-GB"/>
        </w:rPr>
        <w:t xml:space="preserve"> [2022] EWHC 298 (Admin) at [16]-[29].</w:t>
      </w:r>
    </w:p>
    <w:p w14:paraId="4724D734" w14:textId="4B3A051E" w:rsidR="009957CF" w:rsidRPr="00713AB4" w:rsidRDefault="00152920" w:rsidP="00B95F1D">
      <w:pPr>
        <w:numPr>
          <w:ilvl w:val="0"/>
          <w:numId w:val="5"/>
        </w:numPr>
        <w:tabs>
          <w:tab w:val="num" w:pos="717"/>
        </w:tabs>
        <w:spacing w:after="240" w:line="360" w:lineRule="auto"/>
        <w:ind w:hanging="720"/>
        <w:jc w:val="both"/>
        <w:rPr>
          <w:rFonts w:ascii="Calibri" w:hAnsi="Calibri" w:cs="Calibri"/>
          <w:sz w:val="24"/>
          <w:szCs w:val="24"/>
          <w:lang w:val="en-GB"/>
        </w:rPr>
      </w:pPr>
      <w:r w:rsidRPr="00713AB4">
        <w:rPr>
          <w:rFonts w:ascii="Calibri" w:hAnsi="Calibri" w:cs="Calibri"/>
          <w:sz w:val="24"/>
          <w:szCs w:val="24"/>
          <w:lang w:val="en-GB"/>
        </w:rPr>
        <w:t>Where the case is based on the Human Rights Act 1998, a claimant must generally demonstrate that he or she is a direct or indirect ‘victim’ of the allegedly unlawful act, which is a much narrower test.</w:t>
      </w:r>
    </w:p>
    <w:p w14:paraId="68D828C8" w14:textId="42DDCFA3" w:rsidR="008839A6" w:rsidRPr="00713AB4" w:rsidRDefault="00152920" w:rsidP="00B95F1D">
      <w:pPr>
        <w:numPr>
          <w:ilvl w:val="0"/>
          <w:numId w:val="5"/>
        </w:numPr>
        <w:tabs>
          <w:tab w:val="num" w:pos="717"/>
        </w:tabs>
        <w:spacing w:after="240" w:line="360" w:lineRule="auto"/>
        <w:ind w:hanging="720"/>
        <w:jc w:val="both"/>
        <w:rPr>
          <w:rFonts w:ascii="Calibri" w:hAnsi="Calibri" w:cs="Calibri"/>
          <w:sz w:val="24"/>
          <w:szCs w:val="24"/>
          <w:lang w:val="en-GB"/>
        </w:rPr>
      </w:pPr>
      <w:r w:rsidRPr="00713AB4">
        <w:rPr>
          <w:rFonts w:ascii="Calibri" w:eastAsia="Arial" w:hAnsi="Calibri" w:cs="Calibri"/>
          <w:color w:val="000000"/>
          <w:sz w:val="24"/>
          <w:szCs w:val="24"/>
          <w:lang w:val="en-GB"/>
        </w:rPr>
        <w:lastRenderedPageBreak/>
        <w:t>Section</w:t>
      </w:r>
      <w:r w:rsidRPr="00713AB4">
        <w:rPr>
          <w:rFonts w:ascii="Calibri" w:hAnsi="Calibri" w:cs="Calibri"/>
          <w:sz w:val="24"/>
          <w:szCs w:val="24"/>
          <w:lang w:val="en-GB"/>
        </w:rPr>
        <w:t xml:space="preserve"> 7</w:t>
      </w:r>
      <w:r w:rsidR="00515BDF" w:rsidRPr="00713AB4">
        <w:rPr>
          <w:rFonts w:ascii="Calibri" w:hAnsi="Calibri" w:cs="Calibri"/>
          <w:sz w:val="24"/>
          <w:szCs w:val="24"/>
          <w:lang w:val="en-GB"/>
        </w:rPr>
        <w:t>(7)</w:t>
      </w:r>
      <w:r w:rsidRPr="00713AB4">
        <w:rPr>
          <w:rFonts w:ascii="Calibri" w:hAnsi="Calibri" w:cs="Calibri"/>
          <w:sz w:val="24"/>
          <w:szCs w:val="24"/>
          <w:lang w:val="en-GB"/>
        </w:rPr>
        <w:t xml:space="preserve"> of the HRA provides:</w:t>
      </w:r>
    </w:p>
    <w:p w14:paraId="1929F17C" w14:textId="7E8B8EF1" w:rsidR="008839A6" w:rsidRPr="00713AB4" w:rsidRDefault="00117780" w:rsidP="00022E42">
      <w:pPr>
        <w:pStyle w:val="ListParagraph"/>
        <w:tabs>
          <w:tab w:val="left" w:pos="360"/>
          <w:tab w:val="left" w:pos="1512"/>
        </w:tabs>
        <w:spacing w:after="240" w:line="360" w:lineRule="auto"/>
        <w:ind w:left="1440" w:right="85"/>
        <w:contextualSpacing w:val="0"/>
        <w:jc w:val="both"/>
        <w:textAlignment w:val="baseline"/>
        <w:rPr>
          <w:rFonts w:ascii="Calibri" w:hAnsi="Calibri" w:cs="Calibri"/>
          <w:i/>
          <w:iCs/>
          <w:sz w:val="24"/>
          <w:szCs w:val="24"/>
          <w:lang w:val="en-GB"/>
        </w:rPr>
      </w:pPr>
      <w:r w:rsidRPr="00713AB4">
        <w:rPr>
          <w:rFonts w:ascii="Calibri" w:hAnsi="Calibri" w:cs="Calibri"/>
          <w:i/>
          <w:iCs/>
          <w:sz w:val="24"/>
          <w:szCs w:val="24"/>
          <w:lang w:val="en-GB"/>
        </w:rPr>
        <w:t xml:space="preserve">[…] </w:t>
      </w:r>
      <w:r w:rsidR="00152920" w:rsidRPr="00713AB4">
        <w:rPr>
          <w:rFonts w:ascii="Calibri" w:hAnsi="Calibri" w:cs="Calibri"/>
          <w:i/>
          <w:iCs/>
          <w:sz w:val="24"/>
          <w:szCs w:val="24"/>
          <w:lang w:val="en-GB"/>
        </w:rPr>
        <w:t>A person is a victim of an unlawful act only if he would be a victim for the purposes of Article 34 of the Convention if proceedings were brought in the European Court of Human Rights in respect of that act.</w:t>
      </w:r>
    </w:p>
    <w:p w14:paraId="25258388" w14:textId="009120E3" w:rsidR="008839A6" w:rsidRPr="00713AB4" w:rsidRDefault="00152920" w:rsidP="00B95F1D">
      <w:pPr>
        <w:numPr>
          <w:ilvl w:val="0"/>
          <w:numId w:val="5"/>
        </w:numPr>
        <w:tabs>
          <w:tab w:val="num" w:pos="717"/>
        </w:tabs>
        <w:spacing w:after="240" w:line="360" w:lineRule="auto"/>
        <w:ind w:hanging="720"/>
        <w:jc w:val="both"/>
        <w:rPr>
          <w:rFonts w:ascii="Calibri" w:hAnsi="Calibri" w:cs="Calibri"/>
          <w:sz w:val="24"/>
          <w:szCs w:val="24"/>
          <w:lang w:val="en-GB"/>
        </w:rPr>
      </w:pPr>
      <w:r w:rsidRPr="00713AB4">
        <w:rPr>
          <w:rFonts w:ascii="Calibri" w:hAnsi="Calibri" w:cs="Calibri"/>
          <w:sz w:val="24"/>
          <w:szCs w:val="24"/>
          <w:lang w:val="en-GB"/>
        </w:rPr>
        <w:t xml:space="preserve">This </w:t>
      </w:r>
      <w:r w:rsidRPr="00713AB4">
        <w:rPr>
          <w:rFonts w:ascii="Calibri" w:eastAsia="Arial" w:hAnsi="Calibri" w:cs="Calibri"/>
          <w:color w:val="000000"/>
          <w:sz w:val="24"/>
          <w:szCs w:val="24"/>
          <w:lang w:val="en-GB"/>
        </w:rPr>
        <w:t>test</w:t>
      </w:r>
      <w:r w:rsidRPr="00713AB4">
        <w:rPr>
          <w:rFonts w:ascii="Calibri" w:hAnsi="Calibri" w:cs="Calibri"/>
          <w:sz w:val="24"/>
          <w:szCs w:val="24"/>
          <w:lang w:val="en-GB"/>
        </w:rPr>
        <w:t xml:space="preserve"> is drawn from Article 34 of the Convention:</w:t>
      </w:r>
    </w:p>
    <w:p w14:paraId="79AEBF40" w14:textId="7A78ABA0" w:rsidR="008839A6" w:rsidRPr="00713AB4" w:rsidRDefault="00152920" w:rsidP="00022E42">
      <w:pPr>
        <w:pStyle w:val="ListParagraph"/>
        <w:tabs>
          <w:tab w:val="left" w:pos="360"/>
          <w:tab w:val="left" w:pos="1512"/>
        </w:tabs>
        <w:spacing w:after="240" w:line="360" w:lineRule="auto"/>
        <w:ind w:left="1440" w:right="85"/>
        <w:contextualSpacing w:val="0"/>
        <w:jc w:val="both"/>
        <w:textAlignment w:val="baseline"/>
        <w:rPr>
          <w:rFonts w:ascii="Calibri" w:hAnsi="Calibri" w:cs="Calibri"/>
          <w:i/>
          <w:iCs/>
          <w:sz w:val="24"/>
          <w:szCs w:val="24"/>
          <w:lang w:val="en-GB"/>
        </w:rPr>
      </w:pPr>
      <w:r w:rsidRPr="00713AB4">
        <w:rPr>
          <w:rFonts w:ascii="Calibri" w:hAnsi="Calibri" w:cs="Calibri"/>
          <w:i/>
          <w:iCs/>
          <w:sz w:val="24"/>
          <w:szCs w:val="24"/>
          <w:lang w:val="en-GB"/>
        </w:rPr>
        <w:t xml:space="preserve">The Court may receive applications from any person, non-governmental organization or group of individuals claiming to be the victim of a violation… of the rights set forth in the Convention or the </w:t>
      </w:r>
      <w:r w:rsidR="008808C4" w:rsidRPr="00713AB4">
        <w:rPr>
          <w:rFonts w:ascii="Calibri" w:hAnsi="Calibri" w:cs="Calibri"/>
          <w:i/>
          <w:iCs/>
          <w:sz w:val="24"/>
          <w:szCs w:val="24"/>
          <w:lang w:val="en-GB"/>
        </w:rPr>
        <w:t>P</w:t>
      </w:r>
      <w:r w:rsidRPr="00713AB4">
        <w:rPr>
          <w:rFonts w:ascii="Calibri" w:hAnsi="Calibri" w:cs="Calibri"/>
          <w:i/>
          <w:iCs/>
          <w:sz w:val="24"/>
          <w:szCs w:val="24"/>
          <w:lang w:val="en-GB"/>
        </w:rPr>
        <w:t xml:space="preserve">rotocols thereto. </w:t>
      </w:r>
    </w:p>
    <w:p w14:paraId="53976C4B" w14:textId="0B527833" w:rsidR="003C2CAB" w:rsidRPr="00713AB4" w:rsidRDefault="00152920" w:rsidP="00B95F1D">
      <w:pPr>
        <w:numPr>
          <w:ilvl w:val="0"/>
          <w:numId w:val="5"/>
        </w:numPr>
        <w:tabs>
          <w:tab w:val="num" w:pos="717"/>
        </w:tabs>
        <w:spacing w:after="240" w:line="360" w:lineRule="auto"/>
        <w:ind w:hanging="720"/>
        <w:jc w:val="both"/>
        <w:rPr>
          <w:rFonts w:ascii="Calibri" w:hAnsi="Calibri" w:cs="Calibri"/>
          <w:sz w:val="24"/>
          <w:szCs w:val="24"/>
          <w:lang w:val="en-GB"/>
        </w:rPr>
      </w:pPr>
      <w:r w:rsidRPr="00713AB4">
        <w:rPr>
          <w:rFonts w:ascii="Calibri" w:hAnsi="Calibri" w:cs="Calibri"/>
          <w:sz w:val="24"/>
          <w:szCs w:val="24"/>
          <w:lang w:val="en-GB"/>
        </w:rPr>
        <w:t xml:space="preserve">The concept of ‘victim’ requires that the applicant must be a person affected by the act or omission. This is not to say that the requirement has not been applied in a flexible manner. See, for example: </w:t>
      </w:r>
    </w:p>
    <w:p w14:paraId="0D782867" w14:textId="59B5C0C7" w:rsidR="00152920" w:rsidRPr="00713AB4" w:rsidRDefault="00152920">
      <w:pPr>
        <w:pStyle w:val="NoSpacing"/>
        <w:numPr>
          <w:ilvl w:val="1"/>
          <w:numId w:val="4"/>
        </w:numPr>
        <w:spacing w:after="240" w:line="360" w:lineRule="auto"/>
        <w:ind w:right="85"/>
        <w:jc w:val="both"/>
        <w:rPr>
          <w:rFonts w:ascii="Calibri" w:hAnsi="Calibri" w:cs="Calibri"/>
          <w:sz w:val="24"/>
          <w:szCs w:val="24"/>
          <w:lang w:val="en-GB"/>
        </w:rPr>
      </w:pPr>
      <w:r w:rsidRPr="00713AB4">
        <w:rPr>
          <w:rFonts w:ascii="Calibri" w:hAnsi="Calibri" w:cs="Calibri"/>
          <w:i/>
          <w:iCs/>
          <w:sz w:val="24"/>
          <w:szCs w:val="24"/>
          <w:lang w:val="en-GB"/>
        </w:rPr>
        <w:t xml:space="preserve">Abdulaziz, Cabales &amp; </w:t>
      </w:r>
      <w:proofErr w:type="spellStart"/>
      <w:r w:rsidRPr="00713AB4">
        <w:rPr>
          <w:rFonts w:ascii="Calibri" w:hAnsi="Calibri" w:cs="Calibri"/>
          <w:i/>
          <w:iCs/>
          <w:sz w:val="24"/>
          <w:szCs w:val="24"/>
          <w:lang w:val="en-GB"/>
        </w:rPr>
        <w:t>Balkandali</w:t>
      </w:r>
      <w:proofErr w:type="spellEnd"/>
      <w:r w:rsidRPr="00713AB4">
        <w:rPr>
          <w:rFonts w:ascii="Calibri" w:hAnsi="Calibri" w:cs="Calibri"/>
          <w:i/>
          <w:iCs/>
          <w:sz w:val="24"/>
          <w:szCs w:val="24"/>
          <w:lang w:val="en-GB"/>
        </w:rPr>
        <w:t xml:space="preserve"> v UK</w:t>
      </w:r>
      <w:r w:rsidRPr="00713AB4">
        <w:rPr>
          <w:rFonts w:ascii="Calibri" w:hAnsi="Calibri" w:cs="Calibri"/>
          <w:sz w:val="24"/>
          <w:szCs w:val="24"/>
          <w:lang w:val="en-GB"/>
        </w:rPr>
        <w:t xml:space="preserve"> (1985) 7 EHRR 471 (relatives of a person who was refused a residence permit can pursue a case in their own right)</w:t>
      </w:r>
    </w:p>
    <w:p w14:paraId="2984C536" w14:textId="14E3D6CF" w:rsidR="00D54160" w:rsidRDefault="00152920" w:rsidP="00CF0544">
      <w:pPr>
        <w:pStyle w:val="NoSpacing"/>
        <w:numPr>
          <w:ilvl w:val="1"/>
          <w:numId w:val="4"/>
        </w:numPr>
        <w:spacing w:after="240" w:line="360" w:lineRule="auto"/>
        <w:ind w:right="85"/>
        <w:jc w:val="both"/>
        <w:rPr>
          <w:rFonts w:ascii="Calibri" w:hAnsi="Calibri" w:cs="Calibri"/>
          <w:sz w:val="24"/>
          <w:szCs w:val="24"/>
          <w:lang w:val="en-GB"/>
        </w:rPr>
      </w:pPr>
      <w:r w:rsidRPr="00713AB4">
        <w:rPr>
          <w:rFonts w:ascii="Calibri" w:hAnsi="Calibri" w:cs="Calibri"/>
          <w:i/>
          <w:iCs/>
          <w:sz w:val="24"/>
          <w:szCs w:val="24"/>
          <w:lang w:val="en-GB"/>
        </w:rPr>
        <w:t xml:space="preserve">McCann, Farrel and Savage </w:t>
      </w:r>
      <w:r w:rsidR="00F62949" w:rsidRPr="00713AB4">
        <w:rPr>
          <w:rFonts w:ascii="Calibri" w:hAnsi="Calibri" w:cs="Calibri"/>
          <w:i/>
          <w:iCs/>
          <w:sz w:val="24"/>
          <w:szCs w:val="24"/>
          <w:lang w:val="en-GB"/>
        </w:rPr>
        <w:t xml:space="preserve">v </w:t>
      </w:r>
      <w:r w:rsidRPr="00713AB4">
        <w:rPr>
          <w:rFonts w:ascii="Calibri" w:hAnsi="Calibri" w:cs="Calibri"/>
          <w:i/>
          <w:iCs/>
          <w:sz w:val="24"/>
          <w:szCs w:val="24"/>
          <w:lang w:val="en-GB"/>
        </w:rPr>
        <w:t>UK</w:t>
      </w:r>
      <w:r w:rsidR="0070544B" w:rsidRPr="00713AB4">
        <w:rPr>
          <w:rFonts w:ascii="Calibri" w:hAnsi="Calibri" w:cs="Calibri"/>
          <w:sz w:val="24"/>
          <w:szCs w:val="24"/>
          <w:lang w:val="en-GB"/>
        </w:rPr>
        <w:t xml:space="preserve"> </w:t>
      </w:r>
      <w:r w:rsidRPr="00713AB4">
        <w:rPr>
          <w:rFonts w:ascii="Calibri" w:hAnsi="Calibri" w:cs="Calibri"/>
          <w:sz w:val="24"/>
          <w:szCs w:val="24"/>
          <w:lang w:val="en-GB"/>
        </w:rPr>
        <w:t>(1996) 21 EHRR 97 (families of deceased victims can claim on their behalf as well as their own)</w:t>
      </w:r>
    </w:p>
    <w:p w14:paraId="5F3D43DE" w14:textId="77777777" w:rsidR="00AE2D7B" w:rsidRPr="007A527C" w:rsidRDefault="00AE2D7B" w:rsidP="00AE2D7B">
      <w:pPr>
        <w:spacing w:after="240" w:line="360" w:lineRule="auto"/>
        <w:ind w:left="720"/>
        <w:jc w:val="both"/>
        <w:rPr>
          <w:rFonts w:ascii="Calibri" w:eastAsia="Arial" w:hAnsi="Calibri" w:cs="Calibri"/>
          <w:color w:val="000000"/>
          <w:sz w:val="24"/>
          <w:szCs w:val="24"/>
          <w:lang w:val="en-GB"/>
        </w:rPr>
      </w:pPr>
      <w:r w:rsidRPr="007A527C">
        <w:rPr>
          <w:rFonts w:ascii="Calibri" w:eastAsia="Arial" w:hAnsi="Calibri" w:cs="Calibri"/>
          <w:b/>
          <w:color w:val="000000"/>
          <w:sz w:val="24"/>
          <w:szCs w:val="24"/>
          <w:lang w:val="en-GB"/>
        </w:rPr>
        <w:t>Judicial Review – Discretionary Remedies</w:t>
      </w:r>
    </w:p>
    <w:p w14:paraId="4C618A3E"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Unlike other remedies in civil litigation, judicial review remedies are discretionary. This means that a judicial review claimant can succeed in showing that the defendant public body acted </w:t>
      </w:r>
      <w:proofErr w:type="gramStart"/>
      <w:r w:rsidRPr="007A527C">
        <w:rPr>
          <w:rFonts w:ascii="Calibri" w:eastAsia="Arial" w:hAnsi="Calibri" w:cs="Calibri"/>
          <w:color w:val="000000"/>
          <w:sz w:val="24"/>
          <w:szCs w:val="24"/>
          <w:lang w:val="en-GB"/>
        </w:rPr>
        <w:t>unlawfully, but</w:t>
      </w:r>
      <w:proofErr w:type="gramEnd"/>
      <w:r w:rsidRPr="007A527C">
        <w:rPr>
          <w:rFonts w:ascii="Calibri" w:eastAsia="Arial" w:hAnsi="Calibri" w:cs="Calibri"/>
          <w:color w:val="000000"/>
          <w:sz w:val="24"/>
          <w:szCs w:val="24"/>
          <w:lang w:val="en-GB"/>
        </w:rPr>
        <w:t xml:space="preserve"> can nevertheless fail to persuade the court to make an order in the claimant’s favour. The court’s discretion in deciding </w:t>
      </w:r>
      <w:proofErr w:type="gramStart"/>
      <w:r w:rsidRPr="007A527C">
        <w:rPr>
          <w:rFonts w:ascii="Calibri" w:eastAsia="Arial" w:hAnsi="Calibri" w:cs="Calibri"/>
          <w:color w:val="000000"/>
          <w:sz w:val="24"/>
          <w:szCs w:val="24"/>
          <w:lang w:val="en-GB"/>
        </w:rPr>
        <w:t>whether or not</w:t>
      </w:r>
      <w:proofErr w:type="gramEnd"/>
      <w:r w:rsidRPr="007A527C">
        <w:rPr>
          <w:rFonts w:ascii="Calibri" w:eastAsia="Arial" w:hAnsi="Calibri" w:cs="Calibri"/>
          <w:color w:val="000000"/>
          <w:sz w:val="24"/>
          <w:szCs w:val="24"/>
          <w:lang w:val="en-GB"/>
        </w:rPr>
        <w:t xml:space="preserve"> to grant a remedy is a wide one – it can </w:t>
      </w:r>
      <w:proofErr w:type="gramStart"/>
      <w:r w:rsidRPr="007A527C">
        <w:rPr>
          <w:rFonts w:ascii="Calibri" w:eastAsia="Arial" w:hAnsi="Calibri" w:cs="Calibri"/>
          <w:color w:val="000000"/>
          <w:sz w:val="24"/>
          <w:szCs w:val="24"/>
          <w:lang w:val="en-GB"/>
        </w:rPr>
        <w:t>take into account</w:t>
      </w:r>
      <w:proofErr w:type="gramEnd"/>
      <w:r w:rsidRPr="007A527C">
        <w:rPr>
          <w:rFonts w:ascii="Calibri" w:eastAsia="Arial" w:hAnsi="Calibri" w:cs="Calibri"/>
          <w:color w:val="000000"/>
          <w:sz w:val="24"/>
          <w:szCs w:val="24"/>
          <w:lang w:val="en-GB"/>
        </w:rPr>
        <w:t xml:space="preserve"> many considerations such as the needs of good administration, delay, the effect on third parties, and the utility of the relief sought.</w:t>
      </w:r>
    </w:p>
    <w:p w14:paraId="55014A42"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There are six remedies normally available in judicial review:</w:t>
      </w:r>
    </w:p>
    <w:p w14:paraId="2D8AA8BC" w14:textId="77777777" w:rsidR="00AE2D7B" w:rsidRPr="007A527C" w:rsidRDefault="00AE2D7B" w:rsidP="00AE2D7B">
      <w:pPr>
        <w:pStyle w:val="ListParagraph"/>
        <w:numPr>
          <w:ilvl w:val="0"/>
          <w:numId w:val="21"/>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quashing orders;</w:t>
      </w:r>
    </w:p>
    <w:p w14:paraId="3B77F735" w14:textId="77777777" w:rsidR="00AE2D7B" w:rsidRPr="007A527C" w:rsidRDefault="00AE2D7B" w:rsidP="00AE2D7B">
      <w:pPr>
        <w:pStyle w:val="ListParagraph"/>
        <w:numPr>
          <w:ilvl w:val="0"/>
          <w:numId w:val="21"/>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lastRenderedPageBreak/>
        <w:t>mandatory orders;</w:t>
      </w:r>
    </w:p>
    <w:p w14:paraId="04538DF7" w14:textId="77777777" w:rsidR="00AE2D7B" w:rsidRPr="007A527C" w:rsidRDefault="00AE2D7B" w:rsidP="00AE2D7B">
      <w:pPr>
        <w:pStyle w:val="ListParagraph"/>
        <w:numPr>
          <w:ilvl w:val="0"/>
          <w:numId w:val="21"/>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prohibiting orders;</w:t>
      </w:r>
    </w:p>
    <w:p w14:paraId="1479EAD0" w14:textId="77777777" w:rsidR="00AE2D7B" w:rsidRPr="007A527C" w:rsidRDefault="00AE2D7B" w:rsidP="00AE2D7B">
      <w:pPr>
        <w:pStyle w:val="ListParagraph"/>
        <w:numPr>
          <w:ilvl w:val="0"/>
          <w:numId w:val="21"/>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declarations;</w:t>
      </w:r>
    </w:p>
    <w:p w14:paraId="2431FC3D" w14:textId="77777777" w:rsidR="00AE2D7B" w:rsidRPr="007A527C" w:rsidRDefault="00AE2D7B" w:rsidP="00AE2D7B">
      <w:pPr>
        <w:pStyle w:val="ListParagraph"/>
        <w:numPr>
          <w:ilvl w:val="0"/>
          <w:numId w:val="21"/>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injunctions;</w:t>
      </w:r>
    </w:p>
    <w:p w14:paraId="2CA67F5C" w14:textId="77777777" w:rsidR="00AE2D7B" w:rsidRPr="007A527C" w:rsidRDefault="00AE2D7B" w:rsidP="00AE2D7B">
      <w:pPr>
        <w:pStyle w:val="ListParagraph"/>
        <w:numPr>
          <w:ilvl w:val="0"/>
          <w:numId w:val="21"/>
        </w:numPr>
        <w:tabs>
          <w:tab w:val="left" w:pos="360"/>
          <w:tab w:val="left" w:pos="1512"/>
        </w:tabs>
        <w:spacing w:after="240" w:line="360" w:lineRule="auto"/>
        <w:ind w:right="85"/>
        <w:contextualSpacing w:val="0"/>
        <w:jc w:val="both"/>
        <w:textAlignment w:val="baseline"/>
        <w:rPr>
          <w:rFonts w:ascii="Calibri" w:eastAsia="Arial" w:hAnsi="Calibri" w:cs="Calibri"/>
          <w:color w:val="000000"/>
          <w:spacing w:val="-1"/>
          <w:sz w:val="24"/>
          <w:szCs w:val="24"/>
          <w:lang w:val="en-GB"/>
        </w:rPr>
      </w:pPr>
      <w:r w:rsidRPr="007A527C">
        <w:rPr>
          <w:rFonts w:ascii="Calibri" w:eastAsia="Arial" w:hAnsi="Calibri" w:cs="Calibri"/>
          <w:color w:val="000000"/>
          <w:spacing w:val="-1"/>
          <w:sz w:val="24"/>
          <w:szCs w:val="24"/>
          <w:lang w:val="en-GB"/>
        </w:rPr>
        <w:t>damages (but damages cannot be the only remedy sought).</w:t>
      </w:r>
    </w:p>
    <w:p w14:paraId="0A70C60A"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themeColor="text1"/>
          <w:sz w:val="24"/>
          <w:szCs w:val="24"/>
          <w:lang w:val="en-GB"/>
        </w:rPr>
        <w:t>The first three remedies are unique to judicial review. Considering each in turn:</w:t>
      </w:r>
    </w:p>
    <w:p w14:paraId="236A2A67" w14:textId="77777777" w:rsidR="00AE2D7B" w:rsidRPr="007A527C" w:rsidRDefault="00AE2D7B" w:rsidP="00AE2D7B">
      <w:pPr>
        <w:keepNext/>
        <w:spacing w:after="240" w:line="360" w:lineRule="auto"/>
        <w:ind w:left="74" w:right="85" w:firstLine="646"/>
        <w:jc w:val="both"/>
        <w:textAlignment w:val="baseline"/>
        <w:rPr>
          <w:rFonts w:ascii="Calibri" w:eastAsia="Arial" w:hAnsi="Calibri" w:cs="Calibri"/>
          <w:i/>
          <w:iCs/>
          <w:color w:val="000000"/>
          <w:spacing w:val="-4"/>
          <w:sz w:val="24"/>
          <w:szCs w:val="24"/>
          <w:lang w:val="en-GB"/>
        </w:rPr>
      </w:pPr>
      <w:r w:rsidRPr="007A527C">
        <w:rPr>
          <w:rFonts w:ascii="Calibri" w:eastAsia="Arial" w:hAnsi="Calibri" w:cs="Calibri"/>
          <w:i/>
          <w:iCs/>
          <w:color w:val="000000"/>
          <w:spacing w:val="-4"/>
          <w:sz w:val="24"/>
          <w:szCs w:val="24"/>
          <w:lang w:val="en-GB"/>
        </w:rPr>
        <w:t xml:space="preserve">Quashing Orders </w:t>
      </w:r>
    </w:p>
    <w:p w14:paraId="3AE970CF"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sz w:val="24"/>
          <w:szCs w:val="24"/>
          <w:lang w:val="en-GB"/>
        </w:rPr>
      </w:pPr>
      <w:r w:rsidRPr="007A527C">
        <w:rPr>
          <w:rFonts w:ascii="Calibri" w:eastAsia="Arial" w:hAnsi="Calibri" w:cs="Calibri"/>
          <w:color w:val="000000" w:themeColor="text1"/>
          <w:sz w:val="24"/>
          <w:szCs w:val="24"/>
          <w:lang w:val="en-GB"/>
        </w:rPr>
        <w:t>A Quashing Order (formerly known as ‘certiorari’) is an order that quashes or revokes a decision or act, so that it has no legal effect. For example, the court might make a quashing order in respect of an unlawful decision that someone does not qualify for community care services. The defendant local authority would then be obliged to take the decision again applying the proper legal test or by a fair procedure. The court’s powers in this regard have recently been supplemented in that a quashing order may now include provision (a) for the quashing not to take effect until a date specified in the order, or (b) removing or limiting any retrospective effect of the quashing (s.29A Senior Courts Act 1981).</w:t>
      </w:r>
    </w:p>
    <w:p w14:paraId="2899824D" w14:textId="77777777" w:rsidR="00AE2D7B" w:rsidRPr="007A527C" w:rsidRDefault="00AE2D7B" w:rsidP="00AE2D7B">
      <w:pPr>
        <w:spacing w:after="240" w:line="360" w:lineRule="auto"/>
        <w:ind w:left="72" w:right="85" w:firstLine="648"/>
        <w:jc w:val="both"/>
        <w:textAlignment w:val="baseline"/>
        <w:rPr>
          <w:rFonts w:ascii="Calibri" w:eastAsia="Arial" w:hAnsi="Calibri" w:cs="Calibri"/>
          <w:i/>
          <w:iCs/>
          <w:color w:val="000000"/>
          <w:spacing w:val="-4"/>
          <w:sz w:val="24"/>
          <w:szCs w:val="24"/>
          <w:lang w:val="en-GB"/>
        </w:rPr>
      </w:pPr>
      <w:r w:rsidRPr="007A527C">
        <w:rPr>
          <w:rFonts w:ascii="Calibri" w:eastAsia="Arial" w:hAnsi="Calibri" w:cs="Calibri"/>
          <w:i/>
          <w:iCs/>
          <w:color w:val="000000"/>
          <w:spacing w:val="-4"/>
          <w:sz w:val="24"/>
          <w:szCs w:val="24"/>
          <w:lang w:val="en-GB"/>
        </w:rPr>
        <w:t xml:space="preserve">Prohibiting Orders </w:t>
      </w:r>
    </w:p>
    <w:p w14:paraId="24289A4B"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A Prohibiting Order (formerly known as ‘prohibition’) is </w:t>
      </w:r>
      <w:proofErr w:type="gramStart"/>
      <w:r w:rsidRPr="007A527C">
        <w:rPr>
          <w:rFonts w:ascii="Calibri" w:eastAsia="Arial" w:hAnsi="Calibri" w:cs="Calibri"/>
          <w:color w:val="000000"/>
          <w:sz w:val="24"/>
          <w:szCs w:val="24"/>
          <w:lang w:val="en-GB"/>
        </w:rPr>
        <w:t>similar to</w:t>
      </w:r>
      <w:proofErr w:type="gramEnd"/>
      <w:r w:rsidRPr="007A527C">
        <w:rPr>
          <w:rFonts w:ascii="Calibri" w:eastAsia="Arial" w:hAnsi="Calibri" w:cs="Calibri"/>
          <w:color w:val="000000"/>
          <w:sz w:val="24"/>
          <w:szCs w:val="24"/>
          <w:lang w:val="en-GB"/>
        </w:rPr>
        <w:t xml:space="preserve"> a quashing order but acts at an earlier stage in the decision making, prohibiting a public body from taking an unlawful act or decision it has not taken yet.</w:t>
      </w:r>
    </w:p>
    <w:p w14:paraId="44B3EC50" w14:textId="77777777" w:rsidR="00AE2D7B" w:rsidRPr="007A527C" w:rsidRDefault="00AE2D7B" w:rsidP="00AE2D7B">
      <w:pPr>
        <w:keepNext/>
        <w:spacing w:after="240" w:line="360" w:lineRule="auto"/>
        <w:ind w:left="74" w:right="85" w:firstLine="646"/>
        <w:jc w:val="both"/>
        <w:textAlignment w:val="baseline"/>
        <w:rPr>
          <w:rFonts w:ascii="Calibri" w:eastAsia="Arial" w:hAnsi="Calibri" w:cs="Calibri"/>
          <w:i/>
          <w:iCs/>
          <w:color w:val="000000"/>
          <w:spacing w:val="-4"/>
          <w:sz w:val="24"/>
          <w:szCs w:val="24"/>
          <w:lang w:val="en-GB"/>
        </w:rPr>
      </w:pPr>
      <w:r w:rsidRPr="007A527C">
        <w:rPr>
          <w:rFonts w:ascii="Calibri" w:eastAsia="Arial" w:hAnsi="Calibri" w:cs="Calibri"/>
          <w:i/>
          <w:iCs/>
          <w:color w:val="000000"/>
          <w:spacing w:val="-4"/>
          <w:sz w:val="24"/>
          <w:szCs w:val="24"/>
          <w:lang w:val="en-GB"/>
        </w:rPr>
        <w:t xml:space="preserve">Mandatory Orders </w:t>
      </w:r>
    </w:p>
    <w:p w14:paraId="457D9453"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A Mandatory Order (formerly known as ‘mandamus’) compels the public body to take an active step in performance of a public duty. For example, the court might make a mandatory order to compel a local authority to carry out a community care assessment where the court considers that the local authority would otherwise not </w:t>
      </w:r>
      <w:r w:rsidRPr="007A527C">
        <w:rPr>
          <w:rFonts w:ascii="Calibri" w:eastAsia="Arial" w:hAnsi="Calibri" w:cs="Calibri"/>
          <w:color w:val="000000"/>
          <w:sz w:val="24"/>
          <w:szCs w:val="24"/>
          <w:lang w:val="en-GB"/>
        </w:rPr>
        <w:lastRenderedPageBreak/>
        <w:t>carry one out. It should be noted that although the court can require a power to be exercised, the court cannot determine the outcome of the exercise of the public body’s discretion.</w:t>
      </w:r>
    </w:p>
    <w:p w14:paraId="7DB01721" w14:textId="77777777" w:rsidR="00AE2D7B" w:rsidRPr="007A527C" w:rsidRDefault="00AE2D7B" w:rsidP="00AE2D7B">
      <w:pPr>
        <w:spacing w:after="240" w:line="360" w:lineRule="auto"/>
        <w:ind w:left="72" w:right="85" w:firstLine="648"/>
        <w:jc w:val="both"/>
        <w:textAlignment w:val="baseline"/>
        <w:rPr>
          <w:rFonts w:ascii="Calibri" w:eastAsia="Arial" w:hAnsi="Calibri" w:cs="Calibri"/>
          <w:i/>
          <w:iCs/>
          <w:color w:val="000000"/>
          <w:spacing w:val="-4"/>
          <w:sz w:val="24"/>
          <w:szCs w:val="24"/>
          <w:lang w:val="en-GB"/>
        </w:rPr>
      </w:pPr>
      <w:r w:rsidRPr="007A527C">
        <w:rPr>
          <w:rFonts w:ascii="Calibri" w:eastAsia="Arial" w:hAnsi="Calibri" w:cs="Calibri"/>
          <w:i/>
          <w:iCs/>
          <w:color w:val="000000"/>
          <w:spacing w:val="-4"/>
          <w:sz w:val="24"/>
          <w:szCs w:val="24"/>
          <w:lang w:val="en-GB"/>
        </w:rPr>
        <w:t xml:space="preserve">Injunctions  </w:t>
      </w:r>
    </w:p>
    <w:p w14:paraId="67744B2A"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An Injunction is an order compelling the person to whom it is addressed to perform, or not to perform, a specified act.</w:t>
      </w:r>
    </w:p>
    <w:p w14:paraId="737485F6" w14:textId="77777777" w:rsidR="00AE2D7B" w:rsidRPr="007A527C" w:rsidRDefault="00AE2D7B" w:rsidP="00AE2D7B">
      <w:pPr>
        <w:spacing w:after="240" w:line="360" w:lineRule="auto"/>
        <w:ind w:left="72" w:right="85" w:firstLine="648"/>
        <w:jc w:val="both"/>
        <w:textAlignment w:val="baseline"/>
        <w:rPr>
          <w:rFonts w:ascii="Calibri" w:eastAsia="Arial" w:hAnsi="Calibri" w:cs="Calibri"/>
          <w:i/>
          <w:iCs/>
          <w:color w:val="000000"/>
          <w:spacing w:val="-4"/>
          <w:sz w:val="24"/>
          <w:szCs w:val="24"/>
          <w:lang w:val="en-GB"/>
        </w:rPr>
      </w:pPr>
      <w:r w:rsidRPr="007A527C">
        <w:rPr>
          <w:rFonts w:ascii="Calibri" w:eastAsia="Arial" w:hAnsi="Calibri" w:cs="Calibri"/>
          <w:i/>
          <w:iCs/>
          <w:color w:val="000000"/>
          <w:spacing w:val="-4"/>
          <w:sz w:val="24"/>
          <w:szCs w:val="24"/>
          <w:lang w:val="en-GB"/>
        </w:rPr>
        <w:t xml:space="preserve">Declarations  </w:t>
      </w:r>
    </w:p>
    <w:p w14:paraId="58442A4C"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A Declaration is an authoritative ruling on the rights of the parties, or the state of the law. This is a non-coercive form of relief by which the court declares the law or the respective rights of the parties without making any order against the public body to do a particular thing. A declaration might be made, for instance, concerning the proper way to interpret a piece of legislation in future. Declarations of incompatibility, which are now available under the Human Rights Act 1998, are discussed below.</w:t>
      </w:r>
    </w:p>
    <w:p w14:paraId="4A17903B" w14:textId="77777777" w:rsidR="00AE2D7B" w:rsidRPr="007A527C" w:rsidRDefault="00AE2D7B" w:rsidP="00AE2D7B">
      <w:pPr>
        <w:spacing w:after="240" w:line="360" w:lineRule="auto"/>
        <w:ind w:left="72" w:right="85" w:firstLine="648"/>
        <w:jc w:val="both"/>
        <w:textAlignment w:val="baseline"/>
        <w:rPr>
          <w:rFonts w:ascii="Calibri" w:eastAsia="Arial" w:hAnsi="Calibri" w:cs="Calibri"/>
          <w:i/>
          <w:iCs/>
          <w:color w:val="000000"/>
          <w:spacing w:val="-4"/>
          <w:sz w:val="24"/>
          <w:szCs w:val="24"/>
          <w:lang w:val="en-GB"/>
        </w:rPr>
      </w:pPr>
      <w:r w:rsidRPr="007A527C">
        <w:rPr>
          <w:rFonts w:ascii="Calibri" w:eastAsia="Arial" w:hAnsi="Calibri" w:cs="Calibri"/>
          <w:i/>
          <w:iCs/>
          <w:color w:val="000000"/>
          <w:spacing w:val="-4"/>
          <w:sz w:val="24"/>
          <w:szCs w:val="24"/>
          <w:lang w:val="en-GB"/>
        </w:rPr>
        <w:t xml:space="preserve">Damages  </w:t>
      </w:r>
    </w:p>
    <w:p w14:paraId="0505137C"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pacing w:val="-1"/>
          <w:sz w:val="24"/>
          <w:szCs w:val="24"/>
          <w:lang w:val="en-GB"/>
        </w:rPr>
        <w:t xml:space="preserve">A claim for judicial review may include a claim for damages, but it may not be the only remedy sought. </w:t>
      </w:r>
      <w:r w:rsidRPr="007A527C">
        <w:rPr>
          <w:rFonts w:ascii="Calibri" w:eastAsia="Arial" w:hAnsi="Calibri" w:cs="Calibri"/>
          <w:color w:val="000000"/>
          <w:sz w:val="24"/>
          <w:szCs w:val="24"/>
          <w:lang w:val="en-GB"/>
        </w:rPr>
        <w:t xml:space="preserve">The failure of a public authority to act in accordance with public law principles does not in itself give rise to a right to damages. Traditionally, damages were rarely awarded in applications for judicial review. They are not available to compensate people who merely have had unlawful decisions made against them but are available if and only if there is a separate and recognised private law claim for damages, for example, in negligence or breach of statutory duty, which is proven. For example, a claim for damages can be made at the same time as a judicial review to challenge a period of immigration detention at the hands of the state, on the basis that the </w:t>
      </w:r>
      <w:proofErr w:type="gramStart"/>
      <w:r w:rsidRPr="007A527C">
        <w:rPr>
          <w:rFonts w:ascii="Calibri" w:eastAsia="Arial" w:hAnsi="Calibri" w:cs="Calibri"/>
          <w:color w:val="000000"/>
          <w:sz w:val="24"/>
          <w:szCs w:val="24"/>
          <w:lang w:val="en-GB"/>
        </w:rPr>
        <w:t>damages</w:t>
      </w:r>
      <w:proofErr w:type="gramEnd"/>
      <w:r w:rsidRPr="007A527C">
        <w:rPr>
          <w:rFonts w:ascii="Calibri" w:eastAsia="Arial" w:hAnsi="Calibri" w:cs="Calibri"/>
          <w:color w:val="000000"/>
          <w:sz w:val="24"/>
          <w:szCs w:val="24"/>
          <w:lang w:val="en-GB"/>
        </w:rPr>
        <w:t xml:space="preserve"> for false imprisonment is dependent on the public law claim that the detention was unlawful. An exception to the general rule that a damages claim pleaded in a claim for judicial review must be parasitic on the main public law claim arises out of the Human Rights Act 1998, which creates a freestanding statutory tort (see paragraph 51 below).</w:t>
      </w:r>
    </w:p>
    <w:p w14:paraId="2EC92CAD" w14:textId="77777777" w:rsidR="00AE2D7B" w:rsidRPr="007A527C" w:rsidRDefault="00AE2D7B" w:rsidP="00AE2D7B">
      <w:pPr>
        <w:spacing w:after="240" w:line="360" w:lineRule="auto"/>
        <w:ind w:left="72" w:right="85" w:firstLine="648"/>
        <w:jc w:val="both"/>
        <w:textAlignment w:val="baseline"/>
        <w:rPr>
          <w:rFonts w:ascii="Calibri" w:eastAsia="Arial" w:hAnsi="Calibri" w:cs="Calibri"/>
          <w:i/>
          <w:iCs/>
          <w:color w:val="000000"/>
          <w:spacing w:val="-4"/>
          <w:sz w:val="24"/>
          <w:szCs w:val="24"/>
          <w:lang w:val="en-GB"/>
        </w:rPr>
      </w:pPr>
      <w:r w:rsidRPr="007A527C">
        <w:rPr>
          <w:rFonts w:ascii="Calibri" w:eastAsia="Arial" w:hAnsi="Calibri" w:cs="Calibri"/>
          <w:i/>
          <w:iCs/>
          <w:color w:val="000000"/>
          <w:spacing w:val="-4"/>
          <w:sz w:val="24"/>
          <w:szCs w:val="24"/>
          <w:lang w:val="en-GB"/>
        </w:rPr>
        <w:lastRenderedPageBreak/>
        <w:t xml:space="preserve">Interim remedies </w:t>
      </w:r>
    </w:p>
    <w:p w14:paraId="76C3BE43" w14:textId="60CF900A"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In addition to giving directions about the future conduct of the proceedings, at the same time as granting permission the court may also make interim orders under CPR25 and the corresponding practice direction. PD54B also deals with applications for judicial review interim relief including in urgent circumstances</w:t>
      </w:r>
      <w:r w:rsidR="00CA42AB">
        <w:rPr>
          <w:rFonts w:ascii="Calibri" w:eastAsia="Arial" w:hAnsi="Calibri" w:cs="Calibri"/>
          <w:color w:val="000000"/>
          <w:sz w:val="24"/>
          <w:szCs w:val="24"/>
          <w:lang w:val="en-GB"/>
        </w:rPr>
        <w:t>, which are also addressed at paragraph 52 above</w:t>
      </w:r>
      <w:r w:rsidRPr="007A527C">
        <w:rPr>
          <w:rFonts w:ascii="Calibri" w:eastAsia="Arial" w:hAnsi="Calibri" w:cs="Calibri"/>
          <w:color w:val="000000"/>
          <w:sz w:val="24"/>
          <w:szCs w:val="24"/>
          <w:lang w:val="en-GB"/>
        </w:rPr>
        <w:t xml:space="preserve">. Such orders typically address a </w:t>
      </w:r>
      <w:proofErr w:type="gramStart"/>
      <w:r w:rsidRPr="007A527C">
        <w:rPr>
          <w:rFonts w:ascii="Calibri" w:eastAsia="Arial" w:hAnsi="Calibri" w:cs="Calibri"/>
          <w:color w:val="000000"/>
          <w:sz w:val="24"/>
          <w:szCs w:val="24"/>
          <w:lang w:val="en-GB"/>
        </w:rPr>
        <w:t>state of affairs</w:t>
      </w:r>
      <w:proofErr w:type="gramEnd"/>
      <w:r w:rsidRPr="007A527C">
        <w:rPr>
          <w:rFonts w:ascii="Calibri" w:eastAsia="Arial" w:hAnsi="Calibri" w:cs="Calibri"/>
          <w:color w:val="000000"/>
          <w:sz w:val="24"/>
          <w:szCs w:val="24"/>
          <w:lang w:val="en-GB"/>
        </w:rPr>
        <w:t xml:space="preserve"> which, without an order being made, would change to the detriment of one or more of the parties or render the proceedings academic. </w:t>
      </w:r>
    </w:p>
    <w:p w14:paraId="27B83723" w14:textId="77777777" w:rsidR="00AE2D7B" w:rsidRPr="007A527C" w:rsidRDefault="00AE2D7B" w:rsidP="00AE2D7B">
      <w:pPr>
        <w:spacing w:after="240" w:line="360" w:lineRule="auto"/>
        <w:ind w:left="72" w:right="85" w:firstLine="648"/>
        <w:jc w:val="both"/>
        <w:textAlignment w:val="baseline"/>
        <w:rPr>
          <w:rFonts w:ascii="Calibri" w:eastAsia="Arial" w:hAnsi="Calibri" w:cs="Calibri"/>
          <w:i/>
          <w:iCs/>
          <w:color w:val="000000"/>
          <w:sz w:val="24"/>
          <w:szCs w:val="24"/>
          <w:lang w:val="en-GB"/>
        </w:rPr>
      </w:pPr>
      <w:r w:rsidRPr="007A527C">
        <w:rPr>
          <w:rFonts w:ascii="Calibri" w:eastAsia="Arial" w:hAnsi="Calibri" w:cs="Calibri"/>
          <w:i/>
          <w:iCs/>
          <w:color w:val="000000"/>
          <w:spacing w:val="-4"/>
          <w:sz w:val="24"/>
          <w:szCs w:val="24"/>
          <w:lang w:val="en-GB"/>
        </w:rPr>
        <w:t>The</w:t>
      </w:r>
      <w:r w:rsidRPr="007A527C">
        <w:rPr>
          <w:rFonts w:ascii="Calibri" w:eastAsia="Arial" w:hAnsi="Calibri" w:cs="Calibri"/>
          <w:i/>
          <w:iCs/>
          <w:color w:val="000000"/>
          <w:sz w:val="24"/>
          <w:szCs w:val="24"/>
          <w:lang w:val="en-GB"/>
        </w:rPr>
        <w:t xml:space="preserve"> impact of the Human Rights Act upon judicial review remedies </w:t>
      </w:r>
    </w:p>
    <w:p w14:paraId="61280970"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Under section 6(1) HRA “It is unlawful for a public authority to act in a way which is incompatible with a Convention right”, and under section 8(1)), a court or tribunal may grant ‘such relief or remedy, or make such order, within its powers as it considers just and appropriate” for breaches of a person’s rights under the Act. The only limitation on the type of remedy available is the requirement that the court or tribunal in question must already have the power to grant the </w:t>
      </w:r>
      <w:proofErr w:type="gramStart"/>
      <w:r w:rsidRPr="007A527C">
        <w:rPr>
          <w:rFonts w:ascii="Calibri" w:eastAsia="Arial" w:hAnsi="Calibri" w:cs="Calibri"/>
          <w:color w:val="000000"/>
          <w:sz w:val="24"/>
          <w:szCs w:val="24"/>
          <w:lang w:val="en-GB"/>
        </w:rPr>
        <w:t>particular remedy</w:t>
      </w:r>
      <w:proofErr w:type="gramEnd"/>
      <w:r w:rsidRPr="007A527C">
        <w:rPr>
          <w:rFonts w:ascii="Calibri" w:eastAsia="Arial" w:hAnsi="Calibri" w:cs="Calibri"/>
          <w:color w:val="000000"/>
          <w:sz w:val="24"/>
          <w:szCs w:val="24"/>
          <w:lang w:val="en-GB"/>
        </w:rPr>
        <w:t xml:space="preserve"> sought.</w:t>
      </w:r>
    </w:p>
    <w:p w14:paraId="57FEF1B7"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Remedies can therefore include:</w:t>
      </w:r>
    </w:p>
    <w:p w14:paraId="6A8BE620" w14:textId="77777777" w:rsidR="00AE2D7B" w:rsidRPr="007A527C" w:rsidRDefault="00AE2D7B" w:rsidP="00AE2D7B">
      <w:pPr>
        <w:pStyle w:val="ListParagraph"/>
        <w:numPr>
          <w:ilvl w:val="0"/>
          <w:numId w:val="22"/>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The standard judicial review remedies discussed above;</w:t>
      </w:r>
    </w:p>
    <w:p w14:paraId="14084201" w14:textId="77777777" w:rsidR="00AE2D7B" w:rsidRPr="007A527C" w:rsidRDefault="00AE2D7B" w:rsidP="00AE2D7B">
      <w:pPr>
        <w:pStyle w:val="ListParagraph"/>
        <w:numPr>
          <w:ilvl w:val="0"/>
          <w:numId w:val="22"/>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Damages (if the court involved can award damages) and if, having regard to other relief possible, they are necessary to provide ‘just satisfaction’. Section 8 creates a remedy in damages in respect of breaches of section 6 – this is a new statutory tort. The term ‘just satisfaction’ is taken from the terminology used in the European Convention on Human Rights (‘the Convention’) as to the assessment of damages, and it is likely that the English courts will follow the approach taken by the Strasbourg Court. Damages may comprise pecuniary and non-pecuniary losses, costs and expenses and interest.</w:t>
      </w:r>
    </w:p>
    <w:p w14:paraId="1BD8D4D1" w14:textId="77777777" w:rsidR="00AE2D7B" w:rsidRPr="007A527C" w:rsidRDefault="00AE2D7B" w:rsidP="00AE2D7B">
      <w:pPr>
        <w:spacing w:after="240" w:line="360" w:lineRule="auto"/>
        <w:ind w:left="72" w:right="85" w:firstLine="648"/>
        <w:jc w:val="both"/>
        <w:textAlignment w:val="baseline"/>
        <w:rPr>
          <w:rFonts w:ascii="Calibri" w:eastAsia="Arial" w:hAnsi="Calibri" w:cs="Calibri"/>
          <w:i/>
          <w:iCs/>
          <w:color w:val="000000"/>
          <w:spacing w:val="-1"/>
          <w:sz w:val="24"/>
          <w:szCs w:val="24"/>
          <w:lang w:val="en-GB"/>
        </w:rPr>
      </w:pPr>
      <w:r w:rsidRPr="007A527C">
        <w:rPr>
          <w:rFonts w:ascii="Calibri" w:eastAsia="Arial" w:hAnsi="Calibri" w:cs="Calibri"/>
          <w:i/>
          <w:iCs/>
          <w:color w:val="000000"/>
          <w:spacing w:val="-1"/>
          <w:sz w:val="24"/>
          <w:szCs w:val="24"/>
          <w:lang w:val="en-GB"/>
        </w:rPr>
        <w:t xml:space="preserve">Declarations of incompatibility </w:t>
      </w:r>
    </w:p>
    <w:p w14:paraId="68690F18"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A527C">
        <w:rPr>
          <w:rFonts w:ascii="Calibri" w:eastAsia="Arial" w:hAnsi="Calibri" w:cs="Calibri"/>
          <w:color w:val="000000"/>
          <w:spacing w:val="-1"/>
          <w:sz w:val="24"/>
          <w:szCs w:val="24"/>
          <w:lang w:val="en-GB"/>
        </w:rPr>
        <w:lastRenderedPageBreak/>
        <w:t xml:space="preserve">Where a higher court (High Court, Court of Appeal, Supreme Court, Judicial Committee of the Privy Council, and the Courts Martial Appeal Court) finds a piece of primary legislation (and in some </w:t>
      </w:r>
      <w:r w:rsidRPr="007A527C">
        <w:rPr>
          <w:rFonts w:ascii="Calibri" w:eastAsia="Arial" w:hAnsi="Calibri" w:cs="Calibri"/>
          <w:color w:val="000000"/>
          <w:sz w:val="24"/>
          <w:szCs w:val="24"/>
          <w:lang w:val="en-GB"/>
        </w:rPr>
        <w:t>circumstances</w:t>
      </w:r>
      <w:r w:rsidRPr="007A527C">
        <w:rPr>
          <w:rFonts w:ascii="Calibri" w:eastAsia="Arial" w:hAnsi="Calibri" w:cs="Calibri"/>
          <w:color w:val="000000"/>
          <w:spacing w:val="-1"/>
          <w:sz w:val="24"/>
          <w:szCs w:val="24"/>
          <w:lang w:val="en-GB"/>
        </w:rPr>
        <w:t xml:space="preserve"> secondary legislation) cannot be read compatibly with the Convention the court can make a declaration of incompatibility under section 4 of the HRA. </w:t>
      </w:r>
      <w:r w:rsidRPr="007A527C">
        <w:rPr>
          <w:rFonts w:ascii="Calibri" w:eastAsia="Arial" w:hAnsi="Calibri" w:cs="Calibri"/>
          <w:color w:val="000000"/>
          <w:sz w:val="24"/>
          <w:szCs w:val="24"/>
          <w:lang w:val="en-GB"/>
        </w:rPr>
        <w:t xml:space="preserve">All other courts and tribunals are obliged to interpret legislation in accordance with section 3 of the </w:t>
      </w:r>
      <w:proofErr w:type="gramStart"/>
      <w:r w:rsidRPr="007A527C">
        <w:rPr>
          <w:rFonts w:ascii="Calibri" w:eastAsia="Arial" w:hAnsi="Calibri" w:cs="Calibri"/>
          <w:color w:val="000000"/>
          <w:sz w:val="24"/>
          <w:szCs w:val="24"/>
          <w:lang w:val="en-GB"/>
        </w:rPr>
        <w:t>HRA, but</w:t>
      </w:r>
      <w:proofErr w:type="gramEnd"/>
      <w:r w:rsidRPr="007A527C">
        <w:rPr>
          <w:rFonts w:ascii="Calibri" w:eastAsia="Arial" w:hAnsi="Calibri" w:cs="Calibri"/>
          <w:color w:val="000000"/>
          <w:sz w:val="24"/>
          <w:szCs w:val="24"/>
          <w:lang w:val="en-GB"/>
        </w:rPr>
        <w:t xml:space="preserve"> cannot make such declarations.</w:t>
      </w:r>
    </w:p>
    <w:p w14:paraId="2174FC43"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pacing w:val="-1"/>
          <w:sz w:val="24"/>
          <w:szCs w:val="24"/>
          <w:lang w:val="en-GB"/>
        </w:rPr>
      </w:pPr>
      <w:r w:rsidRPr="007A527C">
        <w:rPr>
          <w:rFonts w:ascii="Calibri" w:eastAsia="Arial" w:hAnsi="Calibri" w:cs="Calibri"/>
          <w:color w:val="000000"/>
          <w:spacing w:val="-1"/>
          <w:sz w:val="24"/>
          <w:szCs w:val="24"/>
          <w:lang w:val="en-GB"/>
        </w:rPr>
        <w:t>The first declaration of incompatibility was made in December 2000, in relation to the planning appeals system.</w:t>
      </w:r>
    </w:p>
    <w:p w14:paraId="1FFE6970"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Where a court or tribunal is called upon to interpret </w:t>
      </w:r>
      <w:r w:rsidRPr="007A527C">
        <w:rPr>
          <w:rFonts w:ascii="Calibri" w:eastAsia="Arial" w:hAnsi="Calibri" w:cs="Calibri"/>
          <w:i/>
          <w:color w:val="000000"/>
          <w:sz w:val="24"/>
          <w:szCs w:val="24"/>
          <w:lang w:val="en-GB"/>
        </w:rPr>
        <w:t xml:space="preserve">primary legislation </w:t>
      </w:r>
      <w:r w:rsidRPr="007A527C">
        <w:rPr>
          <w:rFonts w:ascii="Calibri" w:eastAsia="Arial" w:hAnsi="Calibri" w:cs="Calibri"/>
          <w:color w:val="000000"/>
          <w:sz w:val="24"/>
          <w:szCs w:val="24"/>
          <w:lang w:val="en-GB"/>
        </w:rPr>
        <w:t>in a case raising Convention rights issues, it must go through the following steps:</w:t>
      </w:r>
    </w:p>
    <w:p w14:paraId="7E1FB205" w14:textId="77777777" w:rsidR="00AE2D7B" w:rsidRPr="007A527C" w:rsidRDefault="00AE2D7B" w:rsidP="00AE2D7B">
      <w:pPr>
        <w:pStyle w:val="ListParagraph"/>
        <w:numPr>
          <w:ilvl w:val="0"/>
          <w:numId w:val="18"/>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It must first strive to find meaning which is compatible with those rights if it is possible to do so.</w:t>
      </w:r>
    </w:p>
    <w:p w14:paraId="20FD5CD5" w14:textId="77777777" w:rsidR="00AE2D7B" w:rsidRPr="007A527C" w:rsidRDefault="00AE2D7B" w:rsidP="00AE2D7B">
      <w:pPr>
        <w:pStyle w:val="ListParagraph"/>
        <w:numPr>
          <w:ilvl w:val="0"/>
          <w:numId w:val="18"/>
        </w:numPr>
        <w:tabs>
          <w:tab w:val="left" w:pos="360"/>
          <w:tab w:val="left" w:pos="1512"/>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If this is not possible, then only a court with the necessary jurisdiction (see para 53) </w:t>
      </w:r>
      <w:r w:rsidRPr="007A527C">
        <w:rPr>
          <w:rFonts w:ascii="Calibri" w:eastAsia="Arial" w:hAnsi="Calibri" w:cs="Calibri"/>
          <w:i/>
          <w:color w:val="000000"/>
          <w:sz w:val="24"/>
          <w:szCs w:val="24"/>
          <w:lang w:val="en-GB"/>
        </w:rPr>
        <w:t xml:space="preserve">may </w:t>
      </w:r>
      <w:r w:rsidRPr="007A527C">
        <w:rPr>
          <w:rFonts w:ascii="Calibri" w:eastAsia="Arial" w:hAnsi="Calibri" w:cs="Calibri"/>
          <w:color w:val="000000"/>
          <w:sz w:val="24"/>
          <w:szCs w:val="24"/>
          <w:lang w:val="en-GB"/>
        </w:rPr>
        <w:t>make a declaration of incompatibility. Either way, this gives no immediate remedy to the client because the legislation (and the interference with Convention rights) remains unless or until the offending legislation is changed by Parliament.</w:t>
      </w:r>
    </w:p>
    <w:p w14:paraId="32DF2A53"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Where the court or tribunal must interpret a piece of </w:t>
      </w:r>
      <w:r w:rsidRPr="007A527C">
        <w:rPr>
          <w:rFonts w:ascii="Calibri" w:eastAsia="Arial" w:hAnsi="Calibri" w:cs="Calibri"/>
          <w:i/>
          <w:iCs/>
          <w:color w:val="000000"/>
          <w:sz w:val="24"/>
          <w:szCs w:val="24"/>
          <w:lang w:val="en-GB"/>
        </w:rPr>
        <w:t>secondary legislation</w:t>
      </w:r>
      <w:r w:rsidRPr="007A527C">
        <w:rPr>
          <w:rFonts w:ascii="Calibri" w:eastAsia="Arial" w:hAnsi="Calibri" w:cs="Calibri"/>
          <w:color w:val="000000"/>
          <w:sz w:val="24"/>
          <w:szCs w:val="24"/>
          <w:lang w:val="en-GB"/>
        </w:rPr>
        <w:t>, the process is a little more complicated:</w:t>
      </w:r>
    </w:p>
    <w:p w14:paraId="36678EEA" w14:textId="77777777" w:rsidR="00AE2D7B" w:rsidRPr="007A527C" w:rsidRDefault="00AE2D7B" w:rsidP="00AE2D7B">
      <w:pPr>
        <w:pStyle w:val="ListParagraph"/>
        <w:numPr>
          <w:ilvl w:val="0"/>
          <w:numId w:val="19"/>
        </w:numPr>
        <w:tabs>
          <w:tab w:val="left" w:pos="360"/>
          <w:tab w:val="left" w:pos="1560"/>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The court must again strive to find a meaning compatible with the rights if it is possible to do so.</w:t>
      </w:r>
    </w:p>
    <w:p w14:paraId="3DE27BE7" w14:textId="77777777" w:rsidR="00AE2D7B" w:rsidRPr="007A527C" w:rsidRDefault="00AE2D7B" w:rsidP="00AE2D7B">
      <w:pPr>
        <w:pStyle w:val="ListParagraph"/>
        <w:numPr>
          <w:ilvl w:val="0"/>
          <w:numId w:val="19"/>
        </w:numPr>
        <w:tabs>
          <w:tab w:val="left" w:pos="360"/>
          <w:tab w:val="left" w:pos="1560"/>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If it is not possible, the court must then examine the primary legislation which conferred the power to make the secondary legislation. It must then strive to interpret that legislation to find a compatible meeting.</w:t>
      </w:r>
    </w:p>
    <w:p w14:paraId="34B81F0A" w14:textId="77777777" w:rsidR="00AE2D7B" w:rsidRPr="007A527C" w:rsidRDefault="00AE2D7B" w:rsidP="00AE2D7B">
      <w:pPr>
        <w:pStyle w:val="ListParagraph"/>
        <w:numPr>
          <w:ilvl w:val="0"/>
          <w:numId w:val="19"/>
        </w:numPr>
        <w:tabs>
          <w:tab w:val="left" w:pos="360"/>
          <w:tab w:val="left" w:pos="1560"/>
        </w:tabs>
        <w:spacing w:after="240" w:line="360" w:lineRule="auto"/>
        <w:ind w:right="85"/>
        <w:contextualSpacing w:val="0"/>
        <w:jc w:val="both"/>
        <w:textAlignment w:val="baseline"/>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If the primary legislation is found to be compatible, then </w:t>
      </w:r>
      <w:proofErr w:type="gramStart"/>
      <w:r w:rsidRPr="007A527C">
        <w:rPr>
          <w:rFonts w:ascii="Calibri" w:eastAsia="Arial" w:hAnsi="Calibri" w:cs="Calibri"/>
          <w:color w:val="000000"/>
          <w:sz w:val="24"/>
          <w:szCs w:val="24"/>
          <w:lang w:val="en-GB"/>
        </w:rPr>
        <w:t>it is clear that the</w:t>
      </w:r>
      <w:proofErr w:type="gramEnd"/>
      <w:r w:rsidRPr="007A527C">
        <w:rPr>
          <w:rFonts w:ascii="Calibri" w:eastAsia="Arial" w:hAnsi="Calibri" w:cs="Calibri"/>
          <w:color w:val="000000"/>
          <w:sz w:val="24"/>
          <w:szCs w:val="24"/>
          <w:lang w:val="en-GB"/>
        </w:rPr>
        <w:t xml:space="preserve"> secondary legislation in issue is ‘ultra vires’ the HRA. If the court finds that </w:t>
      </w:r>
      <w:r w:rsidRPr="007A527C">
        <w:rPr>
          <w:rFonts w:ascii="Calibri" w:eastAsia="Arial" w:hAnsi="Calibri" w:cs="Calibri"/>
          <w:color w:val="000000"/>
          <w:sz w:val="24"/>
          <w:szCs w:val="24"/>
          <w:lang w:val="en-GB"/>
        </w:rPr>
        <w:lastRenderedPageBreak/>
        <w:t>the primary legislation is incompatible, (i.e., that it required the making of incompatible secondary legislation), then a court with the necessary jurisdiction may make a declaration of incompatibility in respect of both the primary and the secondary legislation. Both primary and secondary legislation remains in force unless or until changed by Parliament.</w:t>
      </w:r>
    </w:p>
    <w:p w14:paraId="168B9F79"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pacing w:val="-1"/>
          <w:sz w:val="24"/>
          <w:szCs w:val="24"/>
          <w:lang w:val="en-GB"/>
        </w:rPr>
        <w:t xml:space="preserve">The consequences of granting such a declaration </w:t>
      </w:r>
      <w:r w:rsidRPr="007A527C">
        <w:rPr>
          <w:rFonts w:ascii="Calibri" w:eastAsia="Arial" w:hAnsi="Calibri" w:cs="Calibri"/>
          <w:i/>
          <w:color w:val="000000"/>
          <w:spacing w:val="-1"/>
          <w:sz w:val="24"/>
          <w:szCs w:val="24"/>
          <w:lang w:val="en-GB"/>
        </w:rPr>
        <w:t>will not, of itself</w:t>
      </w:r>
      <w:r w:rsidRPr="007A527C">
        <w:rPr>
          <w:rFonts w:ascii="Calibri" w:eastAsia="Arial" w:hAnsi="Calibri" w:cs="Calibri"/>
          <w:color w:val="000000"/>
          <w:spacing w:val="-1"/>
          <w:sz w:val="24"/>
          <w:szCs w:val="24"/>
          <w:lang w:val="en-GB"/>
        </w:rPr>
        <w:t>, provide the client with a remedy. This is because section 4(6) provides that a declaration does not affect the validity or continuing operation or enforcement of the provision and is not binding on the parties to the proceedings in which it is made. Such a declaration is also a recognition that the public body in question could not have acted in any other way. The body had not acted unlawfully, and therefore the client has no claim for damages either.</w:t>
      </w:r>
    </w:p>
    <w:p w14:paraId="05719A76"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However, when </w:t>
      </w:r>
      <w:r w:rsidRPr="007A527C">
        <w:rPr>
          <w:rFonts w:ascii="Calibri" w:eastAsia="Arial" w:hAnsi="Calibri" w:cs="Calibri"/>
          <w:color w:val="000000"/>
          <w:spacing w:val="-1"/>
          <w:sz w:val="24"/>
          <w:szCs w:val="24"/>
          <w:lang w:val="en-GB"/>
        </w:rPr>
        <w:t xml:space="preserve">a court makes a declaration of incompatibility </w:t>
      </w:r>
      <w:r w:rsidRPr="007A527C">
        <w:rPr>
          <w:rFonts w:ascii="Calibri" w:eastAsia="Arial" w:hAnsi="Calibri" w:cs="Calibri"/>
          <w:color w:val="000000"/>
          <w:sz w:val="24"/>
          <w:szCs w:val="24"/>
          <w:lang w:val="en-GB"/>
        </w:rPr>
        <w:t xml:space="preserve">it triggers section 10 of the HRA which gives ministers the power to take remedial action if the minister considers that there are ‘compelling reasons’ to do so. </w:t>
      </w:r>
      <w:r w:rsidRPr="007A527C">
        <w:rPr>
          <w:rFonts w:ascii="Calibri" w:eastAsia="Arial" w:hAnsi="Calibri" w:cs="Calibri"/>
          <w:color w:val="000000"/>
          <w:spacing w:val="-1"/>
          <w:sz w:val="24"/>
          <w:szCs w:val="24"/>
          <w:lang w:val="en-GB"/>
        </w:rPr>
        <w:t xml:space="preserve">A minister can draft a remedial order to amend legislation which has been found incompatible with the Convention, to address the incompatibility. Draft remedial orders are considered by the Joint Committee on Human Rights and then need to be approved by both Houses to become law. Urgent orders may be made without advance scrutiny, but they will stop being law if they are not approved by both Houses within 120 days of being laid before Parliament. </w:t>
      </w:r>
    </w:p>
    <w:p w14:paraId="723F4880"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The remedial order may have retrospective effect, but it is most likely to be given prospective effect only. This will not be of any assistance to the client. In the absence of retrospective amendment, damages or an ex-gratia remedy, the client would have to take their case to the European Court of Human Rights in Strasbourg to seek a remedy in that court.</w:t>
      </w:r>
    </w:p>
    <w:p w14:paraId="00CD5A14"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themeColor="text1"/>
          <w:sz w:val="24"/>
          <w:szCs w:val="24"/>
          <w:lang w:val="en-GB"/>
        </w:rPr>
        <w:t xml:space="preserve">It must be remembered that in the English legal system, Parliament is supreme. A declaration of incompatibility is, so far as Parliament is concerned, a statement of opinion. Parliament can take heed of it but is under no obligation to do so (albeit it </w:t>
      </w:r>
      <w:r w:rsidRPr="007A527C">
        <w:rPr>
          <w:rFonts w:ascii="Calibri" w:eastAsia="Arial" w:hAnsi="Calibri" w:cs="Calibri"/>
          <w:color w:val="000000" w:themeColor="text1"/>
          <w:sz w:val="24"/>
          <w:szCs w:val="24"/>
          <w:lang w:val="en-GB"/>
        </w:rPr>
        <w:lastRenderedPageBreak/>
        <w:t xml:space="preserve">usually has). </w:t>
      </w:r>
      <w:proofErr w:type="gramStart"/>
      <w:r w:rsidRPr="007A527C">
        <w:rPr>
          <w:rFonts w:ascii="Calibri" w:eastAsia="Arial" w:hAnsi="Calibri" w:cs="Calibri"/>
          <w:color w:val="000000" w:themeColor="text1"/>
          <w:sz w:val="24"/>
          <w:szCs w:val="24"/>
          <w:lang w:val="en-GB"/>
        </w:rPr>
        <w:t>Also</w:t>
      </w:r>
      <w:proofErr w:type="gramEnd"/>
      <w:r w:rsidRPr="007A527C">
        <w:rPr>
          <w:rFonts w:ascii="Calibri" w:eastAsia="Arial" w:hAnsi="Calibri" w:cs="Calibri"/>
          <w:color w:val="000000" w:themeColor="text1"/>
          <w:sz w:val="24"/>
          <w:szCs w:val="24"/>
          <w:lang w:val="en-GB"/>
        </w:rPr>
        <w:t xml:space="preserve"> Parliament is specifically excluded from the definition of ‘public body’ under the HRA.</w:t>
      </w:r>
    </w:p>
    <w:p w14:paraId="6105633E"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Although in theory, judicial review proceedings might be taken against a minister who failed to bring a remedial order, ultimately, the failure may be a matter that can only be remedied through the ballot box.</w:t>
      </w:r>
    </w:p>
    <w:p w14:paraId="26BD2149" w14:textId="77777777" w:rsidR="00AE2D7B" w:rsidRPr="007A527C" w:rsidRDefault="00AE2D7B" w:rsidP="00AE2D7B">
      <w:pPr>
        <w:tabs>
          <w:tab w:val="left" w:pos="432"/>
          <w:tab w:val="left" w:pos="792"/>
        </w:tabs>
        <w:spacing w:after="240" w:line="360" w:lineRule="auto"/>
        <w:ind w:left="720" w:right="85"/>
        <w:jc w:val="both"/>
        <w:textAlignment w:val="baseline"/>
        <w:rPr>
          <w:rFonts w:ascii="Calibri" w:eastAsia="Arial" w:hAnsi="Calibri" w:cs="Calibri"/>
          <w:i/>
          <w:iCs/>
          <w:color w:val="000000"/>
          <w:sz w:val="24"/>
          <w:szCs w:val="24"/>
          <w:lang w:val="en-GB"/>
        </w:rPr>
      </w:pPr>
      <w:r w:rsidRPr="007A527C">
        <w:rPr>
          <w:rFonts w:ascii="Calibri" w:eastAsia="Arial" w:hAnsi="Calibri" w:cs="Calibri"/>
          <w:i/>
          <w:iCs/>
          <w:color w:val="000000"/>
          <w:sz w:val="24"/>
          <w:szCs w:val="24"/>
          <w:lang w:val="en-GB"/>
        </w:rPr>
        <w:t>Cases where the outcome for the judicial review claimant would not have been substantially different if the conduct complained of had not occurred</w:t>
      </w:r>
    </w:p>
    <w:p w14:paraId="40B2B1B4"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Traditionally, the judicial review courts have regarded themselves as unable to substitute their own decision for that of the defendant. Instead, the court’s focus has traditionally been on the procedure leading to a decision, rather than on the substantive merit of the decision itself (on which a judge may be poorly qualified to comment). As a result, it is frequently the case that a decision is quashed by the court, only to be re-taken by the defendant, this time properly but not necessarily reaching a different conclusion. This can sometimes mean a hollow victory for the successful judicial review claimant.</w:t>
      </w:r>
    </w:p>
    <w:p w14:paraId="22582B79" w14:textId="0A4DB8DA"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However, for claims issued on or after 13 April 2015, section 84 of the Criminal Justice and Courts Act 2015 amends section 31 of the Senior Courts Act 1981 to require the court if so requested by the defendant (and to enable the court, even if not so requested), to consider how likely it is that the outcome for the applicant would not have been substantially different if the conduct complained of had not occurred. If the court considers it highly likely that the outcome would not have been substantially different, it must refuse to grant relief, subject to a power for the court to disregard this requirement if it is appropriate to do so for reasons of exceptional public interest.</w:t>
      </w:r>
      <w:r w:rsidR="00117778">
        <w:rPr>
          <w:rFonts w:ascii="Calibri" w:eastAsia="Arial" w:hAnsi="Calibri" w:cs="Calibri"/>
          <w:color w:val="000000"/>
          <w:sz w:val="24"/>
          <w:szCs w:val="24"/>
          <w:lang w:val="en-GB"/>
        </w:rPr>
        <w:t xml:space="preserve">  </w:t>
      </w:r>
      <w:r w:rsidR="00117778">
        <w:rPr>
          <w:rFonts w:ascii="Calibri" w:eastAsia="Arial" w:hAnsi="Calibri" w:cs="Calibri"/>
          <w:color w:val="000000"/>
          <w:sz w:val="24"/>
          <w:szCs w:val="24"/>
          <w:lang w:val="en-GB"/>
        </w:rPr>
        <w:t xml:space="preserve">See </w:t>
      </w:r>
      <w:r w:rsidR="00117778">
        <w:rPr>
          <w:rFonts w:ascii="Calibri" w:eastAsia="Arial" w:hAnsi="Calibri" w:cs="Calibri"/>
          <w:i/>
          <w:iCs/>
          <w:color w:val="000000"/>
          <w:sz w:val="24"/>
          <w:szCs w:val="24"/>
          <w:lang w:val="en-GB"/>
        </w:rPr>
        <w:t xml:space="preserve">R (Bradbury) v Brecon Beacons National Park </w:t>
      </w:r>
      <w:r w:rsidR="00117778">
        <w:rPr>
          <w:rFonts w:ascii="Calibri" w:eastAsia="Arial" w:hAnsi="Calibri" w:cs="Calibri"/>
          <w:color w:val="000000"/>
          <w:sz w:val="24"/>
          <w:szCs w:val="24"/>
          <w:lang w:val="en-GB"/>
        </w:rPr>
        <w:t xml:space="preserve">[2025] EWCA </w:t>
      </w:r>
      <w:proofErr w:type="spellStart"/>
      <w:r w:rsidR="00117778">
        <w:rPr>
          <w:rFonts w:ascii="Calibri" w:eastAsia="Arial" w:hAnsi="Calibri" w:cs="Calibri"/>
          <w:color w:val="000000"/>
          <w:sz w:val="24"/>
          <w:szCs w:val="24"/>
          <w:lang w:val="en-GB"/>
        </w:rPr>
        <w:t>Civ</w:t>
      </w:r>
      <w:proofErr w:type="spellEnd"/>
      <w:r w:rsidR="00117778">
        <w:rPr>
          <w:rFonts w:ascii="Calibri" w:eastAsia="Arial" w:hAnsi="Calibri" w:cs="Calibri"/>
          <w:color w:val="000000"/>
          <w:sz w:val="24"/>
          <w:szCs w:val="24"/>
          <w:lang w:val="en-GB"/>
        </w:rPr>
        <w:t xml:space="preserve"> 489; </w:t>
      </w:r>
      <w:r w:rsidR="00117778">
        <w:rPr>
          <w:rFonts w:ascii="Calibri" w:eastAsia="Arial" w:hAnsi="Calibri" w:cs="Calibri"/>
          <w:i/>
          <w:iCs/>
          <w:color w:val="000000"/>
          <w:sz w:val="24"/>
          <w:szCs w:val="24"/>
          <w:lang w:val="en-GB"/>
        </w:rPr>
        <w:t>R (Greenfields (IOW) Ltd) v Isle of Wight Council</w:t>
      </w:r>
      <w:r w:rsidR="00117778">
        <w:rPr>
          <w:rFonts w:ascii="Calibri" w:eastAsia="Arial" w:hAnsi="Calibri" w:cs="Calibri"/>
          <w:color w:val="000000"/>
          <w:sz w:val="24"/>
          <w:szCs w:val="24"/>
          <w:lang w:val="en-GB"/>
        </w:rPr>
        <w:t xml:space="preserve"> [2025] EWCA </w:t>
      </w:r>
      <w:proofErr w:type="spellStart"/>
      <w:r w:rsidR="00117778">
        <w:rPr>
          <w:rFonts w:ascii="Calibri" w:eastAsia="Arial" w:hAnsi="Calibri" w:cs="Calibri"/>
          <w:color w:val="000000"/>
          <w:sz w:val="24"/>
          <w:szCs w:val="24"/>
          <w:lang w:val="en-GB"/>
        </w:rPr>
        <w:t>Civ</w:t>
      </w:r>
      <w:proofErr w:type="spellEnd"/>
      <w:r w:rsidR="00117778">
        <w:rPr>
          <w:rFonts w:ascii="Calibri" w:eastAsia="Arial" w:hAnsi="Calibri" w:cs="Calibri"/>
          <w:color w:val="000000"/>
          <w:sz w:val="24"/>
          <w:szCs w:val="24"/>
          <w:lang w:val="en-GB"/>
        </w:rPr>
        <w:t xml:space="preserve"> 488.</w:t>
      </w:r>
    </w:p>
    <w:p w14:paraId="2B8875B5" w14:textId="77777777" w:rsidR="00AE2D7B" w:rsidRPr="007A527C" w:rsidRDefault="00AE2D7B" w:rsidP="00AE2D7B">
      <w:pPr>
        <w:spacing w:after="240" w:line="360" w:lineRule="auto"/>
        <w:ind w:left="72" w:right="85" w:firstLine="648"/>
        <w:jc w:val="both"/>
        <w:textAlignment w:val="baseline"/>
        <w:rPr>
          <w:rFonts w:ascii="Calibri" w:eastAsia="Arial" w:hAnsi="Calibri" w:cs="Calibri"/>
          <w:bCs/>
          <w:i/>
          <w:iCs/>
          <w:color w:val="000000"/>
          <w:spacing w:val="-1"/>
          <w:sz w:val="24"/>
          <w:szCs w:val="24"/>
          <w:lang w:val="en-GB"/>
        </w:rPr>
      </w:pPr>
      <w:r w:rsidRPr="007A527C">
        <w:rPr>
          <w:rFonts w:ascii="Calibri" w:eastAsia="Arial" w:hAnsi="Calibri" w:cs="Calibri"/>
          <w:bCs/>
          <w:i/>
          <w:iCs/>
          <w:color w:val="000000"/>
          <w:spacing w:val="-1"/>
          <w:sz w:val="24"/>
          <w:szCs w:val="24"/>
          <w:lang w:val="en-GB"/>
        </w:rPr>
        <w:t xml:space="preserve">Alternatives to judicial review </w:t>
      </w:r>
    </w:p>
    <w:p w14:paraId="2D1875CD"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As stated at paragraph 4 above, judicial review is a remedy of last resort. The jurisdiction of the court to grant relief by way of judicial review is not ousted by the </w:t>
      </w:r>
      <w:r w:rsidRPr="007A527C">
        <w:rPr>
          <w:rFonts w:ascii="Calibri" w:eastAsia="Arial" w:hAnsi="Calibri" w:cs="Calibri"/>
          <w:color w:val="000000"/>
          <w:sz w:val="24"/>
          <w:szCs w:val="24"/>
          <w:lang w:val="en-GB"/>
        </w:rPr>
        <w:lastRenderedPageBreak/>
        <w:t>availability of an alternative remedy, such as an appeal or ADR. However, the courts will generally refuse permission for judicial review cases to proceed, or withhold a remedy, where there are alternative, equally effective, remedies open to the person bringing the action, until the alternative remedy has been used. Costs orders may be made against the party applying for judicial review.</w:t>
      </w:r>
    </w:p>
    <w:p w14:paraId="1E6BF32B" w14:textId="77777777" w:rsidR="00AE2D7B" w:rsidRPr="007A527C"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Where there is what may be considered a potential alternative remedy available to the prospective judicial review claimant, the court will consider whether the alternative is equally convenient, effective and expeditious. This is a case-specific exercise.</w:t>
      </w:r>
    </w:p>
    <w:p w14:paraId="2E5C8D37" w14:textId="18F58464" w:rsidR="00AE2D7B" w:rsidRDefault="00AE2D7B" w:rsidP="00AE2D7B">
      <w:pPr>
        <w:numPr>
          <w:ilvl w:val="0"/>
          <w:numId w:val="5"/>
        </w:numPr>
        <w:tabs>
          <w:tab w:val="num" w:pos="717"/>
        </w:tabs>
        <w:spacing w:after="240" w:line="360" w:lineRule="auto"/>
        <w:ind w:hanging="720"/>
        <w:jc w:val="both"/>
        <w:rPr>
          <w:rFonts w:ascii="Calibri" w:eastAsia="Arial" w:hAnsi="Calibri" w:cs="Calibri"/>
          <w:color w:val="000000"/>
          <w:sz w:val="24"/>
          <w:szCs w:val="24"/>
          <w:lang w:val="en-GB"/>
        </w:rPr>
      </w:pPr>
      <w:r w:rsidRPr="007A527C">
        <w:rPr>
          <w:rFonts w:ascii="Calibri" w:eastAsia="Arial" w:hAnsi="Calibri" w:cs="Calibri"/>
          <w:color w:val="000000"/>
          <w:sz w:val="24"/>
          <w:szCs w:val="24"/>
          <w:lang w:val="en-GB"/>
        </w:rPr>
        <w:t xml:space="preserve">In </w:t>
      </w:r>
      <w:r w:rsidRPr="007A527C">
        <w:rPr>
          <w:rFonts w:ascii="Calibri" w:eastAsia="Arial" w:hAnsi="Calibri" w:cs="Calibri"/>
          <w:i/>
          <w:color w:val="000000"/>
          <w:sz w:val="24"/>
          <w:szCs w:val="24"/>
          <w:lang w:val="en-GB"/>
        </w:rPr>
        <w:t xml:space="preserve">R on the application of Cowl v City of Plymouth </w:t>
      </w:r>
      <w:r w:rsidRPr="007A527C">
        <w:rPr>
          <w:rFonts w:ascii="Calibri" w:eastAsia="Arial" w:hAnsi="Calibri" w:cs="Calibri"/>
          <w:color w:val="000000"/>
          <w:sz w:val="24"/>
          <w:szCs w:val="24"/>
          <w:lang w:val="en-GB"/>
        </w:rPr>
        <w:t xml:space="preserve">[2001] EWCA </w:t>
      </w:r>
      <w:proofErr w:type="spellStart"/>
      <w:r w:rsidRPr="007A527C">
        <w:rPr>
          <w:rFonts w:ascii="Calibri" w:eastAsia="Arial" w:hAnsi="Calibri" w:cs="Calibri"/>
          <w:color w:val="000000"/>
          <w:sz w:val="24"/>
          <w:szCs w:val="24"/>
          <w:lang w:val="en-GB"/>
        </w:rPr>
        <w:t>Civ</w:t>
      </w:r>
      <w:proofErr w:type="spellEnd"/>
      <w:r w:rsidRPr="007A527C">
        <w:rPr>
          <w:rFonts w:ascii="Calibri" w:eastAsia="Arial" w:hAnsi="Calibri" w:cs="Calibri"/>
          <w:color w:val="000000"/>
          <w:sz w:val="24"/>
          <w:szCs w:val="24"/>
          <w:lang w:val="en-GB"/>
        </w:rPr>
        <w:t xml:space="preserve"> 1935, [2002] 1 WLR 803, the Court of Appeal sought to require parties to judicial review cases to </w:t>
      </w:r>
      <w:proofErr w:type="gramStart"/>
      <w:r w:rsidRPr="007A527C">
        <w:rPr>
          <w:rFonts w:ascii="Calibri" w:eastAsia="Arial" w:hAnsi="Calibri" w:cs="Calibri"/>
          <w:color w:val="000000"/>
          <w:sz w:val="24"/>
          <w:szCs w:val="24"/>
          <w:lang w:val="en-GB"/>
        </w:rPr>
        <w:t>give greater consideration to</w:t>
      </w:r>
      <w:proofErr w:type="gramEnd"/>
      <w:r w:rsidRPr="007A527C">
        <w:rPr>
          <w:rFonts w:ascii="Calibri" w:eastAsia="Arial" w:hAnsi="Calibri" w:cs="Calibri"/>
          <w:color w:val="000000"/>
          <w:sz w:val="24"/>
          <w:szCs w:val="24"/>
          <w:lang w:val="en-GB"/>
        </w:rPr>
        <w:t xml:space="preserve"> attempting alternative dispute resolution. Whilst there is no evidence to suggest the uptake of ADR has increased significantly since </w:t>
      </w:r>
      <w:r w:rsidRPr="007A527C">
        <w:rPr>
          <w:rFonts w:ascii="Calibri" w:eastAsia="Arial" w:hAnsi="Calibri" w:cs="Calibri"/>
          <w:i/>
          <w:color w:val="000000"/>
          <w:sz w:val="24"/>
          <w:szCs w:val="24"/>
          <w:lang w:val="en-GB"/>
        </w:rPr>
        <w:t>Cowl</w:t>
      </w:r>
      <w:r w:rsidRPr="007A527C">
        <w:rPr>
          <w:rFonts w:ascii="Calibri" w:eastAsia="Arial" w:hAnsi="Calibri" w:cs="Calibri"/>
          <w:color w:val="000000"/>
          <w:sz w:val="24"/>
          <w:szCs w:val="24"/>
          <w:lang w:val="en-GB"/>
        </w:rPr>
        <w:t>, the court’s aspirations in that case are reflected in amendments to the Judicial Review Pre-Action Protocol (considered further in Session 3) which makes it clear that the parties should consider ADR. If proceedings are issued, the parties may be required by the court to provide evidence that ADR has been considered. A party’s silence in response to an invitation to participate in ADR or refusal to participate in ADR might be considered unreasonable by the court and could lead to the court ordering that party to pay additional court costs.</w:t>
      </w:r>
      <w:r>
        <w:rPr>
          <w:rFonts w:ascii="Calibri" w:eastAsia="Arial" w:hAnsi="Calibri" w:cs="Calibri"/>
          <w:color w:val="000000"/>
          <w:sz w:val="24"/>
          <w:szCs w:val="24"/>
          <w:lang w:val="en-GB"/>
        </w:rPr>
        <w:t xml:space="preserve"> </w:t>
      </w:r>
    </w:p>
    <w:p w14:paraId="5961CA2F" w14:textId="766B8C41" w:rsidR="00713AB4" w:rsidRPr="00713AB4" w:rsidRDefault="00713AB4" w:rsidP="00713AB4">
      <w:pPr>
        <w:tabs>
          <w:tab w:val="num" w:pos="717"/>
        </w:tabs>
        <w:spacing w:after="240" w:line="360" w:lineRule="auto"/>
        <w:jc w:val="right"/>
        <w:rPr>
          <w:rFonts w:ascii="Calibri" w:eastAsia="Arial" w:hAnsi="Calibri" w:cs="Calibri"/>
          <w:b/>
          <w:bCs/>
          <w:i/>
          <w:iCs/>
          <w:color w:val="000000"/>
          <w:sz w:val="24"/>
          <w:szCs w:val="24"/>
          <w:lang w:val="en-GB"/>
        </w:rPr>
      </w:pPr>
      <w:r w:rsidRPr="00713AB4">
        <w:rPr>
          <w:rFonts w:ascii="Calibri" w:eastAsia="Arial" w:hAnsi="Calibri" w:cs="Calibri"/>
          <w:b/>
          <w:bCs/>
          <w:i/>
          <w:iCs/>
          <w:color w:val="000000"/>
          <w:sz w:val="24"/>
          <w:szCs w:val="24"/>
          <w:lang w:val="en-GB"/>
        </w:rPr>
        <w:t>Latest updated by Will Bordell and Ivan Hare KC at Blackstone Chambers</w:t>
      </w:r>
      <w:r w:rsidRPr="00713AB4">
        <w:rPr>
          <w:rFonts w:ascii="Calibri" w:eastAsia="Arial" w:hAnsi="Calibri" w:cs="Calibri"/>
          <w:b/>
          <w:bCs/>
          <w:i/>
          <w:iCs/>
          <w:color w:val="000000"/>
          <w:sz w:val="24"/>
          <w:szCs w:val="24"/>
          <w:lang w:val="en-GB"/>
        </w:rPr>
        <w:br/>
        <w:t xml:space="preserve">May 2026 </w:t>
      </w:r>
    </w:p>
    <w:p w14:paraId="6C7ED1C0" w14:textId="77777777" w:rsidR="00AE2D7B" w:rsidRPr="00713AB4" w:rsidRDefault="00AE2D7B" w:rsidP="00713AB4">
      <w:pPr>
        <w:pStyle w:val="NoSpacing"/>
        <w:spacing w:after="240" w:line="360" w:lineRule="auto"/>
        <w:ind w:right="85"/>
        <w:jc w:val="both"/>
        <w:rPr>
          <w:rFonts w:ascii="Calibri" w:hAnsi="Calibri" w:cs="Calibri"/>
          <w:sz w:val="24"/>
          <w:szCs w:val="24"/>
          <w:lang w:val="en-GB"/>
        </w:rPr>
      </w:pPr>
    </w:p>
    <w:sectPr w:rsidR="00AE2D7B" w:rsidRPr="00713AB4" w:rsidSect="00B11BA7">
      <w:headerReference w:type="default" r:id="rId14"/>
      <w:footerReference w:type="default" r:id="rId15"/>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F865E" w14:textId="77777777" w:rsidR="00DA1333" w:rsidRDefault="00DA1333" w:rsidP="00152920">
      <w:r>
        <w:separator/>
      </w:r>
    </w:p>
  </w:endnote>
  <w:endnote w:type="continuationSeparator" w:id="0">
    <w:p w14:paraId="64453391" w14:textId="77777777" w:rsidR="00DA1333" w:rsidRDefault="00DA1333" w:rsidP="00152920">
      <w:r>
        <w:continuationSeparator/>
      </w:r>
    </w:p>
  </w:endnote>
  <w:endnote w:type="continuationNotice" w:id="1">
    <w:p w14:paraId="7839B663" w14:textId="77777777" w:rsidR="00DA1333" w:rsidRDefault="00DA13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918377021"/>
      <w:docPartObj>
        <w:docPartGallery w:val="Page Numbers (Bottom of Page)"/>
        <w:docPartUnique/>
      </w:docPartObj>
    </w:sdtPr>
    <w:sdtEndPr>
      <w:rPr>
        <w:noProof/>
      </w:rPr>
    </w:sdtEndPr>
    <w:sdtContent>
      <w:p w14:paraId="78630EA5" w14:textId="7C2060AD" w:rsidR="00E31A3C" w:rsidRPr="00E31A3C" w:rsidRDefault="00E31A3C">
        <w:pPr>
          <w:pStyle w:val="Footer"/>
          <w:jc w:val="center"/>
          <w:rPr>
            <w:rFonts w:ascii="Arial" w:hAnsi="Arial" w:cs="Arial"/>
            <w:sz w:val="20"/>
            <w:szCs w:val="20"/>
          </w:rPr>
        </w:pPr>
        <w:r w:rsidRPr="00E31A3C">
          <w:rPr>
            <w:rFonts w:ascii="Arial" w:hAnsi="Arial" w:cs="Arial"/>
            <w:sz w:val="20"/>
            <w:szCs w:val="20"/>
          </w:rPr>
          <w:fldChar w:fldCharType="begin"/>
        </w:r>
        <w:r w:rsidRPr="00E31A3C">
          <w:rPr>
            <w:rFonts w:ascii="Arial" w:hAnsi="Arial" w:cs="Arial"/>
            <w:sz w:val="20"/>
            <w:szCs w:val="20"/>
          </w:rPr>
          <w:instrText xml:space="preserve"> PAGE   \* MERGEFORMAT </w:instrText>
        </w:r>
        <w:r w:rsidRPr="00E31A3C">
          <w:rPr>
            <w:rFonts w:ascii="Arial" w:hAnsi="Arial" w:cs="Arial"/>
            <w:sz w:val="20"/>
            <w:szCs w:val="20"/>
          </w:rPr>
          <w:fldChar w:fldCharType="separate"/>
        </w:r>
        <w:r w:rsidRPr="00E31A3C">
          <w:rPr>
            <w:rFonts w:ascii="Arial" w:hAnsi="Arial" w:cs="Arial"/>
            <w:noProof/>
            <w:sz w:val="20"/>
            <w:szCs w:val="20"/>
          </w:rPr>
          <w:t>2</w:t>
        </w:r>
        <w:r w:rsidRPr="00E31A3C">
          <w:rPr>
            <w:rFonts w:ascii="Arial" w:hAnsi="Arial" w:cs="Arial"/>
            <w:noProof/>
            <w:sz w:val="20"/>
            <w:szCs w:val="20"/>
          </w:rPr>
          <w:fldChar w:fldCharType="end"/>
        </w:r>
      </w:p>
    </w:sdtContent>
  </w:sdt>
  <w:p w14:paraId="73677A69" w14:textId="77777777" w:rsidR="00E31A3C" w:rsidRDefault="00E31A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C8627" w14:textId="77777777" w:rsidR="00DA1333" w:rsidRDefault="00DA1333" w:rsidP="00152920">
      <w:r>
        <w:separator/>
      </w:r>
    </w:p>
  </w:footnote>
  <w:footnote w:type="continuationSeparator" w:id="0">
    <w:p w14:paraId="2E816A2B" w14:textId="77777777" w:rsidR="00DA1333" w:rsidRDefault="00DA1333" w:rsidP="00152920">
      <w:r>
        <w:continuationSeparator/>
      </w:r>
    </w:p>
  </w:footnote>
  <w:footnote w:type="continuationNotice" w:id="1">
    <w:p w14:paraId="71C5292F" w14:textId="77777777" w:rsidR="00DA1333" w:rsidRDefault="00DA1333"/>
  </w:footnote>
  <w:footnote w:id="2">
    <w:p w14:paraId="37C5060E" w14:textId="38ED724D" w:rsidR="00152920" w:rsidRPr="00FF76C1" w:rsidRDefault="00152920">
      <w:pPr>
        <w:pStyle w:val="FootnoteText"/>
        <w:rPr>
          <w:rFonts w:ascii="Calibri" w:hAnsi="Calibri" w:cs="Calibri"/>
          <w:sz w:val="18"/>
          <w:szCs w:val="18"/>
        </w:rPr>
      </w:pPr>
      <w:r w:rsidRPr="00FF76C1">
        <w:rPr>
          <w:rStyle w:val="FootnoteReference"/>
          <w:rFonts w:ascii="Calibri" w:hAnsi="Calibri" w:cs="Calibri"/>
          <w:sz w:val="18"/>
          <w:szCs w:val="18"/>
        </w:rPr>
        <w:footnoteRef/>
      </w:r>
      <w:r w:rsidRPr="00FF76C1">
        <w:rPr>
          <w:rFonts w:ascii="Calibri" w:hAnsi="Calibri" w:cs="Calibri"/>
          <w:sz w:val="18"/>
          <w:szCs w:val="18"/>
        </w:rPr>
        <w:t xml:space="preserve">With thanks for their input to Azeem </w:t>
      </w:r>
      <w:proofErr w:type="spellStart"/>
      <w:r w:rsidRPr="00FF76C1">
        <w:rPr>
          <w:rFonts w:ascii="Calibri" w:hAnsi="Calibri" w:cs="Calibri"/>
          <w:sz w:val="18"/>
          <w:szCs w:val="18"/>
        </w:rPr>
        <w:t>Suterwalla</w:t>
      </w:r>
      <w:proofErr w:type="spellEnd"/>
      <w:r w:rsidRPr="00FF76C1">
        <w:rPr>
          <w:rFonts w:ascii="Calibri" w:hAnsi="Calibri" w:cs="Calibri"/>
          <w:sz w:val="18"/>
          <w:szCs w:val="18"/>
        </w:rPr>
        <w:t xml:space="preserve"> and Martha Spurrier of Doughty Street Chambers, Jared Ficklin of Garden Court North</w:t>
      </w:r>
      <w:r w:rsidR="00713AB4">
        <w:rPr>
          <w:rFonts w:ascii="Calibri" w:hAnsi="Calibri" w:cs="Calibri"/>
          <w:sz w:val="18"/>
          <w:szCs w:val="18"/>
        </w:rPr>
        <w:t>, and Will Bordell and Ivan Hare KC of Blackstone Chambers</w:t>
      </w:r>
    </w:p>
  </w:footnote>
  <w:footnote w:id="3">
    <w:p w14:paraId="54381A13" w14:textId="7EF2CFA7" w:rsidR="00152920" w:rsidRPr="00B95F1D" w:rsidRDefault="00152920">
      <w:pPr>
        <w:pStyle w:val="FootnoteText"/>
        <w:rPr>
          <w:rFonts w:ascii="Arial" w:hAnsi="Arial" w:cs="Arial"/>
          <w:sz w:val="18"/>
          <w:szCs w:val="18"/>
        </w:rPr>
      </w:pPr>
      <w:r w:rsidRPr="00B95F1D">
        <w:rPr>
          <w:rStyle w:val="FootnoteReference"/>
          <w:rFonts w:ascii="Arial" w:hAnsi="Arial" w:cs="Arial"/>
          <w:sz w:val="18"/>
          <w:szCs w:val="18"/>
        </w:rPr>
        <w:footnoteRef/>
      </w:r>
      <w:r w:rsidRPr="00B95F1D">
        <w:rPr>
          <w:rFonts w:ascii="Arial" w:hAnsi="Arial" w:cs="Arial"/>
          <w:sz w:val="18"/>
          <w:szCs w:val="18"/>
        </w:rPr>
        <w:t xml:space="preserve">Although note the general requirement under the Judicial Review Pre-Action Protocol for prospective judicial review claimants to send a letter before claim before commencing judicial review proceedings. </w:t>
      </w:r>
    </w:p>
  </w:footnote>
  <w:footnote w:id="4">
    <w:p w14:paraId="7F73FF26" w14:textId="682B123A" w:rsidR="008B79F5" w:rsidRPr="00345DC8" w:rsidRDefault="008B79F5">
      <w:pPr>
        <w:pStyle w:val="FootnoteText"/>
        <w:rPr>
          <w:rFonts w:ascii="Arial" w:hAnsi="Arial" w:cs="Arial"/>
          <w:sz w:val="18"/>
          <w:szCs w:val="18"/>
          <w:lang w:val="en-GB"/>
        </w:rPr>
      </w:pPr>
      <w:r w:rsidRPr="00345DC8">
        <w:rPr>
          <w:rStyle w:val="FootnoteReference"/>
          <w:rFonts w:ascii="Arial" w:hAnsi="Arial" w:cs="Arial"/>
          <w:sz w:val="18"/>
          <w:szCs w:val="18"/>
        </w:rPr>
        <w:footnoteRef/>
      </w:r>
      <w:r w:rsidRPr="00345DC8">
        <w:rPr>
          <w:rFonts w:ascii="Arial" w:hAnsi="Arial" w:cs="Arial"/>
          <w:sz w:val="18"/>
          <w:szCs w:val="18"/>
        </w:rPr>
        <w:t xml:space="preserve"> https://www.justice.gov.uk/courts/procedure-rules/civil/rules/part54</w:t>
      </w:r>
    </w:p>
  </w:footnote>
  <w:footnote w:id="5">
    <w:p w14:paraId="3410E38C" w14:textId="55E93DC3" w:rsidR="0022542D" w:rsidRPr="00345DC8" w:rsidRDefault="0022542D">
      <w:pPr>
        <w:pStyle w:val="FootnoteText"/>
        <w:rPr>
          <w:rFonts w:ascii="Arial" w:hAnsi="Arial" w:cs="Arial"/>
          <w:sz w:val="18"/>
          <w:szCs w:val="18"/>
          <w:lang w:val="en-GB"/>
        </w:rPr>
      </w:pPr>
      <w:r w:rsidRPr="00345DC8">
        <w:rPr>
          <w:rStyle w:val="FootnoteReference"/>
          <w:rFonts w:ascii="Arial" w:hAnsi="Arial" w:cs="Arial"/>
          <w:sz w:val="18"/>
          <w:szCs w:val="18"/>
        </w:rPr>
        <w:footnoteRef/>
      </w:r>
      <w:r w:rsidRPr="00345DC8">
        <w:rPr>
          <w:rFonts w:ascii="Arial" w:hAnsi="Arial" w:cs="Arial"/>
          <w:sz w:val="18"/>
          <w:szCs w:val="18"/>
        </w:rPr>
        <w:t xml:space="preserve"> https://www.legislation.gov.uk/uksi/2008/2698/contents</w:t>
      </w:r>
    </w:p>
  </w:footnote>
  <w:footnote w:id="6">
    <w:p w14:paraId="6BF0B560" w14:textId="61605E90" w:rsidR="005A0B22" w:rsidRPr="00345DC8" w:rsidRDefault="005A0B22">
      <w:pPr>
        <w:pStyle w:val="FootnoteText"/>
        <w:rPr>
          <w:rFonts w:ascii="Arial" w:hAnsi="Arial" w:cs="Arial"/>
          <w:sz w:val="18"/>
          <w:szCs w:val="18"/>
          <w:lang w:val="en-GB"/>
        </w:rPr>
      </w:pPr>
      <w:r w:rsidRPr="00345DC8">
        <w:rPr>
          <w:rStyle w:val="FootnoteReference"/>
          <w:rFonts w:ascii="Arial" w:hAnsi="Arial" w:cs="Arial"/>
          <w:sz w:val="18"/>
          <w:szCs w:val="18"/>
        </w:rPr>
        <w:footnoteRef/>
      </w:r>
      <w:r w:rsidRPr="00345DC8">
        <w:rPr>
          <w:rFonts w:ascii="Arial" w:hAnsi="Arial" w:cs="Arial"/>
          <w:sz w:val="18"/>
          <w:szCs w:val="18"/>
        </w:rPr>
        <w:t xml:space="preserve"> </w:t>
      </w:r>
      <w:r w:rsidRPr="00345DC8">
        <w:rPr>
          <w:rFonts w:ascii="Arial" w:hAnsi="Arial" w:cs="Arial"/>
          <w:sz w:val="18"/>
          <w:szCs w:val="18"/>
          <w:lang w:val="en-GB"/>
        </w:rPr>
        <w:t>See the Lord Chief Justice’s direction (amended on 17 October 2014) for the types of claims which have been transferred.</w:t>
      </w:r>
    </w:p>
  </w:footnote>
  <w:footnote w:id="7">
    <w:p w14:paraId="0C4432EE" w14:textId="369E7187" w:rsidR="009B347B" w:rsidRPr="00345DC8" w:rsidRDefault="009B347B">
      <w:pPr>
        <w:pStyle w:val="FootnoteText"/>
        <w:rPr>
          <w:lang w:val="en-GB"/>
        </w:rPr>
      </w:pPr>
      <w:r w:rsidRPr="00345DC8">
        <w:rPr>
          <w:rStyle w:val="FootnoteReference"/>
          <w:rFonts w:ascii="Arial" w:hAnsi="Arial" w:cs="Arial"/>
          <w:sz w:val="18"/>
          <w:szCs w:val="18"/>
        </w:rPr>
        <w:footnoteRef/>
      </w:r>
      <w:r w:rsidR="0753095F" w:rsidRPr="00345DC8">
        <w:rPr>
          <w:rFonts w:ascii="Arial" w:hAnsi="Arial" w:cs="Arial"/>
          <w:sz w:val="18"/>
          <w:szCs w:val="18"/>
        </w:rPr>
        <w:t xml:space="preserve"> </w:t>
      </w:r>
      <w:r w:rsidR="0753095F" w:rsidRPr="00345DC8">
        <w:rPr>
          <w:rFonts w:ascii="Arial" w:hAnsi="Arial" w:cs="Arial"/>
          <w:sz w:val="18"/>
          <w:szCs w:val="18"/>
          <w:lang w:val="en-GB"/>
        </w:rPr>
        <w:t xml:space="preserve">Current version of the guide available </w:t>
      </w:r>
      <w:hyperlink r:id="rId1">
        <w:r w:rsidR="0753095F" w:rsidRPr="0753095F">
          <w:rPr>
            <w:rStyle w:val="Hyperlink"/>
            <w:rFonts w:ascii="Arial" w:hAnsi="Arial" w:cs="Arial"/>
            <w:sz w:val="18"/>
            <w:szCs w:val="18"/>
            <w:lang w:val="en-GB"/>
          </w:rPr>
          <w:t>here</w:t>
        </w:r>
      </w:hyperlink>
      <w:r w:rsidR="0753095F" w:rsidRPr="00345DC8">
        <w:rPr>
          <w:rFonts w:ascii="Arial" w:hAnsi="Arial" w:cs="Arial"/>
          <w:sz w:val="18"/>
          <w:szCs w:val="18"/>
          <w:lang w:val="en-GB"/>
        </w:rPr>
        <w:t>.</w:t>
      </w:r>
      <w:r w:rsidR="0753095F">
        <w:rPr>
          <w:lang w:val="en-GB"/>
        </w:rPr>
        <w:t xml:space="preserve"> </w:t>
      </w:r>
    </w:p>
  </w:footnote>
  <w:footnote w:id="8">
    <w:p w14:paraId="0CFD41FC" w14:textId="033FB37C" w:rsidR="006D4A0B" w:rsidRPr="00B95F1D" w:rsidRDefault="006D4A0B" w:rsidP="006D4A0B">
      <w:pPr>
        <w:pStyle w:val="NoSpacing"/>
        <w:rPr>
          <w:rFonts w:ascii="Arial" w:hAnsi="Arial" w:cs="Arial"/>
          <w:sz w:val="18"/>
          <w:szCs w:val="18"/>
          <w:vertAlign w:val="superscript"/>
        </w:rPr>
      </w:pPr>
      <w:r w:rsidRPr="00B95F1D">
        <w:rPr>
          <w:rStyle w:val="FootnoteReference"/>
          <w:rFonts w:ascii="Arial" w:hAnsi="Arial" w:cs="Arial"/>
          <w:sz w:val="18"/>
          <w:szCs w:val="18"/>
        </w:rPr>
        <w:footnoteRef/>
      </w:r>
      <w:r w:rsidR="00D55B51">
        <w:rPr>
          <w:rFonts w:ascii="Arial" w:hAnsi="Arial" w:cs="Arial"/>
          <w:sz w:val="18"/>
          <w:szCs w:val="18"/>
        </w:rPr>
        <w:t>The</w:t>
      </w:r>
      <w:r w:rsidR="00065B3F">
        <w:rPr>
          <w:rFonts w:ascii="Arial" w:hAnsi="Arial" w:cs="Arial"/>
          <w:sz w:val="18"/>
          <w:szCs w:val="18"/>
        </w:rPr>
        <w:t xml:space="preserve"> public functions test is set out in</w:t>
      </w:r>
      <w:r w:rsidRPr="00B95F1D">
        <w:rPr>
          <w:rFonts w:ascii="Arial" w:hAnsi="Arial" w:cs="Arial"/>
          <w:sz w:val="18"/>
          <w:szCs w:val="18"/>
        </w:rPr>
        <w:t xml:space="preserve"> </w:t>
      </w:r>
      <w:r w:rsidRPr="00B95F1D">
        <w:rPr>
          <w:rFonts w:ascii="Arial" w:hAnsi="Arial" w:cs="Arial"/>
          <w:i/>
          <w:sz w:val="18"/>
          <w:szCs w:val="18"/>
        </w:rPr>
        <w:t xml:space="preserve">R v Panel on Takeovers and Mergers, ex </w:t>
      </w:r>
      <w:proofErr w:type="spellStart"/>
      <w:r w:rsidRPr="00B95F1D">
        <w:rPr>
          <w:rFonts w:ascii="Arial" w:hAnsi="Arial" w:cs="Arial"/>
          <w:i/>
          <w:sz w:val="18"/>
          <w:szCs w:val="18"/>
        </w:rPr>
        <w:t>parte</w:t>
      </w:r>
      <w:proofErr w:type="spellEnd"/>
      <w:r w:rsidRPr="00B95F1D">
        <w:rPr>
          <w:rFonts w:ascii="Arial" w:hAnsi="Arial" w:cs="Arial"/>
          <w:i/>
          <w:sz w:val="18"/>
          <w:szCs w:val="18"/>
        </w:rPr>
        <w:t xml:space="preserve"> </w:t>
      </w:r>
      <w:proofErr w:type="spellStart"/>
      <w:r w:rsidRPr="00B95F1D">
        <w:rPr>
          <w:rFonts w:ascii="Arial" w:hAnsi="Arial" w:cs="Arial"/>
          <w:i/>
          <w:sz w:val="18"/>
          <w:szCs w:val="18"/>
        </w:rPr>
        <w:t>Datafin</w:t>
      </w:r>
      <w:proofErr w:type="spellEnd"/>
      <w:r w:rsidRPr="00B95F1D">
        <w:rPr>
          <w:rFonts w:ascii="Arial" w:hAnsi="Arial" w:cs="Arial"/>
          <w:i/>
          <w:sz w:val="18"/>
          <w:szCs w:val="18"/>
        </w:rPr>
        <w:t xml:space="preserve"> [1987] QB 815</w:t>
      </w:r>
      <w:r w:rsidRPr="00B95F1D">
        <w:rPr>
          <w:rFonts w:ascii="Arial" w:hAnsi="Arial" w:cs="Arial"/>
          <w:sz w:val="18"/>
          <w:szCs w:val="18"/>
        </w:rPr>
        <w:t>. The court decided, effectively, that the private body was functioning as a public body because it was fulfilling a function that the government would have been obliged to step in and fulfil had the private body not existed.</w:t>
      </w:r>
    </w:p>
    <w:p w14:paraId="6AD90928" w14:textId="77777777" w:rsidR="006D4A0B" w:rsidRPr="00B95F1D" w:rsidRDefault="006D4A0B" w:rsidP="006D4A0B">
      <w:pPr>
        <w:pStyle w:val="FootnoteText"/>
        <w:rPr>
          <w:rFonts w:ascii="Arial" w:hAnsi="Arial" w:cs="Arial"/>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611F0" w14:textId="2C829DD3" w:rsidR="002E33CC" w:rsidRDefault="002E33CC">
    <w:pPr>
      <w:pStyle w:val="Header"/>
    </w:pPr>
    <w:r>
      <w:rPr>
        <w:rFonts w:ascii="Arial" w:eastAsia="Arial" w:hAnsi="Arial" w:cs="Arial"/>
        <w:b/>
        <w:noProof/>
        <w:color w:val="000000"/>
        <w:sz w:val="24"/>
        <w:szCs w:val="24"/>
        <w14:ligatures w14:val="standardContextual"/>
      </w:rPr>
      <w:drawing>
        <wp:anchor distT="0" distB="0" distL="114300" distR="114300" simplePos="0" relativeHeight="251658240" behindDoc="0" locked="0" layoutInCell="1" allowOverlap="1" wp14:anchorId="29ED7C40" wp14:editId="40EDC4A1">
          <wp:simplePos x="0" y="0"/>
          <wp:positionH relativeFrom="column">
            <wp:posOffset>5801836</wp:posOffset>
          </wp:positionH>
          <wp:positionV relativeFrom="paragraph">
            <wp:posOffset>-301925</wp:posOffset>
          </wp:positionV>
          <wp:extent cx="743664" cy="586597"/>
          <wp:effectExtent l="0" t="0" r="0" b="4445"/>
          <wp:wrapNone/>
          <wp:docPr id="82599084" name="Picture" descr="A blue cube with black text&#10;&#10;Description automatically generated"/>
          <wp:cNvGraphicFramePr/>
          <a:graphic xmlns:a="http://schemas.openxmlformats.org/drawingml/2006/main">
            <a:graphicData uri="http://schemas.openxmlformats.org/drawingml/2006/picture">
              <pic:pic xmlns:pic="http://schemas.openxmlformats.org/drawingml/2006/picture">
                <pic:nvPicPr>
                  <pic:cNvPr id="1762667007" name="Picture" descr="A blue cube with black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747780" cy="58984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534A0"/>
    <w:multiLevelType w:val="hybridMultilevel"/>
    <w:tmpl w:val="6D8ACF96"/>
    <w:lvl w:ilvl="0" w:tplc="7A741C00">
      <w:start w:val="1"/>
      <w:numFmt w:val="decimal"/>
      <w:lvlText w:val="(%1)"/>
      <w:lvlJc w:val="left"/>
      <w:pPr>
        <w:ind w:left="1512" w:hanging="360"/>
      </w:pPr>
      <w:rPr>
        <w:rFonts w:hint="default"/>
      </w:rPr>
    </w:lvl>
    <w:lvl w:ilvl="1" w:tplc="FFFFFFFF" w:tentative="1">
      <w:start w:val="1"/>
      <w:numFmt w:val="bullet"/>
      <w:lvlText w:val="o"/>
      <w:lvlJc w:val="left"/>
      <w:pPr>
        <w:ind w:left="2232" w:hanging="360"/>
      </w:pPr>
      <w:rPr>
        <w:rFonts w:ascii="Courier New" w:hAnsi="Courier New" w:cs="Courier New" w:hint="default"/>
      </w:rPr>
    </w:lvl>
    <w:lvl w:ilvl="2" w:tplc="FFFFFFFF" w:tentative="1">
      <w:start w:val="1"/>
      <w:numFmt w:val="bullet"/>
      <w:lvlText w:val=""/>
      <w:lvlJc w:val="left"/>
      <w:pPr>
        <w:ind w:left="2952" w:hanging="360"/>
      </w:pPr>
      <w:rPr>
        <w:rFonts w:ascii="Wingdings" w:hAnsi="Wingdings" w:hint="default"/>
      </w:rPr>
    </w:lvl>
    <w:lvl w:ilvl="3" w:tplc="FFFFFFFF" w:tentative="1">
      <w:start w:val="1"/>
      <w:numFmt w:val="bullet"/>
      <w:lvlText w:val=""/>
      <w:lvlJc w:val="left"/>
      <w:pPr>
        <w:ind w:left="3672" w:hanging="360"/>
      </w:pPr>
      <w:rPr>
        <w:rFonts w:ascii="Symbol" w:hAnsi="Symbol" w:hint="default"/>
      </w:rPr>
    </w:lvl>
    <w:lvl w:ilvl="4" w:tplc="FFFFFFFF" w:tentative="1">
      <w:start w:val="1"/>
      <w:numFmt w:val="bullet"/>
      <w:lvlText w:val="o"/>
      <w:lvlJc w:val="left"/>
      <w:pPr>
        <w:ind w:left="4392" w:hanging="360"/>
      </w:pPr>
      <w:rPr>
        <w:rFonts w:ascii="Courier New" w:hAnsi="Courier New" w:cs="Courier New" w:hint="default"/>
      </w:rPr>
    </w:lvl>
    <w:lvl w:ilvl="5" w:tplc="FFFFFFFF" w:tentative="1">
      <w:start w:val="1"/>
      <w:numFmt w:val="bullet"/>
      <w:lvlText w:val=""/>
      <w:lvlJc w:val="left"/>
      <w:pPr>
        <w:ind w:left="5112" w:hanging="360"/>
      </w:pPr>
      <w:rPr>
        <w:rFonts w:ascii="Wingdings" w:hAnsi="Wingdings" w:hint="default"/>
      </w:rPr>
    </w:lvl>
    <w:lvl w:ilvl="6" w:tplc="FFFFFFFF" w:tentative="1">
      <w:start w:val="1"/>
      <w:numFmt w:val="bullet"/>
      <w:lvlText w:val=""/>
      <w:lvlJc w:val="left"/>
      <w:pPr>
        <w:ind w:left="5832" w:hanging="360"/>
      </w:pPr>
      <w:rPr>
        <w:rFonts w:ascii="Symbol" w:hAnsi="Symbol" w:hint="default"/>
      </w:rPr>
    </w:lvl>
    <w:lvl w:ilvl="7" w:tplc="FFFFFFFF" w:tentative="1">
      <w:start w:val="1"/>
      <w:numFmt w:val="bullet"/>
      <w:lvlText w:val="o"/>
      <w:lvlJc w:val="left"/>
      <w:pPr>
        <w:ind w:left="6552" w:hanging="360"/>
      </w:pPr>
      <w:rPr>
        <w:rFonts w:ascii="Courier New" w:hAnsi="Courier New" w:cs="Courier New" w:hint="default"/>
      </w:rPr>
    </w:lvl>
    <w:lvl w:ilvl="8" w:tplc="FFFFFFFF" w:tentative="1">
      <w:start w:val="1"/>
      <w:numFmt w:val="bullet"/>
      <w:lvlText w:val=""/>
      <w:lvlJc w:val="left"/>
      <w:pPr>
        <w:ind w:left="7272" w:hanging="360"/>
      </w:pPr>
      <w:rPr>
        <w:rFonts w:ascii="Wingdings" w:hAnsi="Wingdings" w:hint="default"/>
      </w:rPr>
    </w:lvl>
  </w:abstractNum>
  <w:abstractNum w:abstractNumId="1" w15:restartNumberingAfterBreak="0">
    <w:nsid w:val="06941C7B"/>
    <w:multiLevelType w:val="hybridMultilevel"/>
    <w:tmpl w:val="8264C6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77C504B"/>
    <w:multiLevelType w:val="hybridMultilevel"/>
    <w:tmpl w:val="075817DC"/>
    <w:lvl w:ilvl="0" w:tplc="08090001">
      <w:start w:val="1"/>
      <w:numFmt w:val="bullet"/>
      <w:lvlText w:val=""/>
      <w:lvlJc w:val="left"/>
      <w:pPr>
        <w:ind w:left="1944" w:hanging="360"/>
      </w:pPr>
      <w:rPr>
        <w:rFonts w:ascii="Symbol" w:hAnsi="Symbol"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3" w15:restartNumberingAfterBreak="0">
    <w:nsid w:val="0A0342E0"/>
    <w:multiLevelType w:val="hybridMultilevel"/>
    <w:tmpl w:val="810048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B200EA8"/>
    <w:multiLevelType w:val="multilevel"/>
    <w:tmpl w:val="A99A24AA"/>
    <w:numStyleLink w:val="Numberinglist"/>
  </w:abstractNum>
  <w:abstractNum w:abstractNumId="5" w15:restartNumberingAfterBreak="0">
    <w:nsid w:val="0F55529D"/>
    <w:multiLevelType w:val="hybridMultilevel"/>
    <w:tmpl w:val="DEBA1F22"/>
    <w:lvl w:ilvl="0" w:tplc="67604034">
      <w:start w:val="1"/>
      <w:numFmt w:val="lowerLetter"/>
      <w:lvlText w:val="(%1)"/>
      <w:lvlJc w:val="left"/>
      <w:pPr>
        <w:ind w:left="2664" w:hanging="360"/>
      </w:pPr>
      <w:rPr>
        <w:rFonts w:hint="default"/>
      </w:rPr>
    </w:lvl>
    <w:lvl w:ilvl="1" w:tplc="7A741C00">
      <w:start w:val="1"/>
      <w:numFmt w:val="decimal"/>
      <w:lvlText w:val="(%2)"/>
      <w:lvlJc w:val="left"/>
      <w:pPr>
        <w:ind w:left="3384" w:hanging="360"/>
      </w:pPr>
      <w:rPr>
        <w:rFonts w:hint="default"/>
      </w:rPr>
    </w:lvl>
    <w:lvl w:ilvl="2" w:tplc="0809001B" w:tentative="1">
      <w:start w:val="1"/>
      <w:numFmt w:val="lowerRoman"/>
      <w:lvlText w:val="%3."/>
      <w:lvlJc w:val="right"/>
      <w:pPr>
        <w:ind w:left="4104" w:hanging="180"/>
      </w:pPr>
    </w:lvl>
    <w:lvl w:ilvl="3" w:tplc="0809000F" w:tentative="1">
      <w:start w:val="1"/>
      <w:numFmt w:val="decimal"/>
      <w:lvlText w:val="%4."/>
      <w:lvlJc w:val="left"/>
      <w:pPr>
        <w:ind w:left="4824" w:hanging="360"/>
      </w:pPr>
    </w:lvl>
    <w:lvl w:ilvl="4" w:tplc="08090019" w:tentative="1">
      <w:start w:val="1"/>
      <w:numFmt w:val="lowerLetter"/>
      <w:lvlText w:val="%5."/>
      <w:lvlJc w:val="left"/>
      <w:pPr>
        <w:ind w:left="5544" w:hanging="360"/>
      </w:pPr>
    </w:lvl>
    <w:lvl w:ilvl="5" w:tplc="0809001B" w:tentative="1">
      <w:start w:val="1"/>
      <w:numFmt w:val="lowerRoman"/>
      <w:lvlText w:val="%6."/>
      <w:lvlJc w:val="right"/>
      <w:pPr>
        <w:ind w:left="6264" w:hanging="180"/>
      </w:pPr>
    </w:lvl>
    <w:lvl w:ilvl="6" w:tplc="0809000F" w:tentative="1">
      <w:start w:val="1"/>
      <w:numFmt w:val="decimal"/>
      <w:lvlText w:val="%7."/>
      <w:lvlJc w:val="left"/>
      <w:pPr>
        <w:ind w:left="6984" w:hanging="360"/>
      </w:pPr>
    </w:lvl>
    <w:lvl w:ilvl="7" w:tplc="08090019" w:tentative="1">
      <w:start w:val="1"/>
      <w:numFmt w:val="lowerLetter"/>
      <w:lvlText w:val="%8."/>
      <w:lvlJc w:val="left"/>
      <w:pPr>
        <w:ind w:left="7704" w:hanging="360"/>
      </w:pPr>
    </w:lvl>
    <w:lvl w:ilvl="8" w:tplc="0809001B" w:tentative="1">
      <w:start w:val="1"/>
      <w:numFmt w:val="lowerRoman"/>
      <w:lvlText w:val="%9."/>
      <w:lvlJc w:val="right"/>
      <w:pPr>
        <w:ind w:left="8424" w:hanging="180"/>
      </w:pPr>
    </w:lvl>
  </w:abstractNum>
  <w:abstractNum w:abstractNumId="6" w15:restartNumberingAfterBreak="0">
    <w:nsid w:val="15CD101C"/>
    <w:multiLevelType w:val="hybridMultilevel"/>
    <w:tmpl w:val="773A83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7D27ABB"/>
    <w:multiLevelType w:val="hybridMultilevel"/>
    <w:tmpl w:val="593258F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EC64B4C"/>
    <w:multiLevelType w:val="multilevel"/>
    <w:tmpl w:val="F1D89DFE"/>
    <w:lvl w:ilvl="0">
      <w:start w:val="1"/>
      <w:numFmt w:val="lowerLetter"/>
      <w:lvlText w:val="(%1)"/>
      <w:lvlJc w:val="left"/>
      <w:pPr>
        <w:tabs>
          <w:tab w:val="left" w:pos="360"/>
        </w:tabs>
      </w:pPr>
      <w:rPr>
        <w:rFonts w:ascii="Arial" w:eastAsia="Arial" w:hAnsi="Aria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1C41833"/>
    <w:multiLevelType w:val="hybridMultilevel"/>
    <w:tmpl w:val="3C2A7A50"/>
    <w:lvl w:ilvl="0" w:tplc="16948FDE">
      <w:start w:val="1"/>
      <w:numFmt w:val="bullet"/>
      <w:lvlText w:val=""/>
      <w:lvlJc w:val="left"/>
      <w:pPr>
        <w:ind w:left="1440" w:hanging="360"/>
      </w:pPr>
      <w:rPr>
        <w:rFonts w:ascii="Symbol" w:hAnsi="Symbol" w:hint="default"/>
        <w:b w:val="0"/>
        <w:i w:val="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5649D5"/>
    <w:multiLevelType w:val="hybridMultilevel"/>
    <w:tmpl w:val="669E5418"/>
    <w:lvl w:ilvl="0" w:tplc="7A741C00">
      <w:start w:val="1"/>
      <w:numFmt w:val="decimal"/>
      <w:lvlText w:val="(%1)"/>
      <w:lvlJc w:val="left"/>
      <w:pPr>
        <w:ind w:left="1944" w:hanging="360"/>
      </w:pPr>
      <w:rPr>
        <w:rFonts w:hint="default"/>
      </w:rPr>
    </w:lvl>
    <w:lvl w:ilvl="1" w:tplc="08090019" w:tentative="1">
      <w:start w:val="1"/>
      <w:numFmt w:val="lowerLetter"/>
      <w:lvlText w:val="%2."/>
      <w:lvlJc w:val="left"/>
      <w:pPr>
        <w:ind w:left="2664" w:hanging="360"/>
      </w:pPr>
    </w:lvl>
    <w:lvl w:ilvl="2" w:tplc="0809001B" w:tentative="1">
      <w:start w:val="1"/>
      <w:numFmt w:val="lowerRoman"/>
      <w:lvlText w:val="%3."/>
      <w:lvlJc w:val="right"/>
      <w:pPr>
        <w:ind w:left="3384" w:hanging="180"/>
      </w:pPr>
    </w:lvl>
    <w:lvl w:ilvl="3" w:tplc="0809000F" w:tentative="1">
      <w:start w:val="1"/>
      <w:numFmt w:val="decimal"/>
      <w:lvlText w:val="%4."/>
      <w:lvlJc w:val="left"/>
      <w:pPr>
        <w:ind w:left="4104" w:hanging="360"/>
      </w:pPr>
    </w:lvl>
    <w:lvl w:ilvl="4" w:tplc="08090019" w:tentative="1">
      <w:start w:val="1"/>
      <w:numFmt w:val="lowerLetter"/>
      <w:lvlText w:val="%5."/>
      <w:lvlJc w:val="left"/>
      <w:pPr>
        <w:ind w:left="4824" w:hanging="360"/>
      </w:pPr>
    </w:lvl>
    <w:lvl w:ilvl="5" w:tplc="0809001B" w:tentative="1">
      <w:start w:val="1"/>
      <w:numFmt w:val="lowerRoman"/>
      <w:lvlText w:val="%6."/>
      <w:lvlJc w:val="right"/>
      <w:pPr>
        <w:ind w:left="5544" w:hanging="180"/>
      </w:pPr>
    </w:lvl>
    <w:lvl w:ilvl="6" w:tplc="0809000F" w:tentative="1">
      <w:start w:val="1"/>
      <w:numFmt w:val="decimal"/>
      <w:lvlText w:val="%7."/>
      <w:lvlJc w:val="left"/>
      <w:pPr>
        <w:ind w:left="6264" w:hanging="360"/>
      </w:pPr>
    </w:lvl>
    <w:lvl w:ilvl="7" w:tplc="08090019" w:tentative="1">
      <w:start w:val="1"/>
      <w:numFmt w:val="lowerLetter"/>
      <w:lvlText w:val="%8."/>
      <w:lvlJc w:val="left"/>
      <w:pPr>
        <w:ind w:left="6984" w:hanging="360"/>
      </w:pPr>
    </w:lvl>
    <w:lvl w:ilvl="8" w:tplc="0809001B" w:tentative="1">
      <w:start w:val="1"/>
      <w:numFmt w:val="lowerRoman"/>
      <w:lvlText w:val="%9."/>
      <w:lvlJc w:val="right"/>
      <w:pPr>
        <w:ind w:left="7704" w:hanging="180"/>
      </w:pPr>
    </w:lvl>
  </w:abstractNum>
  <w:abstractNum w:abstractNumId="11" w15:restartNumberingAfterBreak="0">
    <w:nsid w:val="243B2C89"/>
    <w:multiLevelType w:val="hybridMultilevel"/>
    <w:tmpl w:val="4488A24C"/>
    <w:lvl w:ilvl="0" w:tplc="A1D29FC2">
      <w:start w:val="1"/>
      <w:numFmt w:val="upperRoman"/>
      <w:lvlText w:val="(%1.)"/>
      <w:lvlJc w:val="left"/>
      <w:pPr>
        <w:ind w:left="2664" w:hanging="720"/>
      </w:pPr>
      <w:rPr>
        <w:rFonts w:hint="default"/>
      </w:rPr>
    </w:lvl>
    <w:lvl w:ilvl="1" w:tplc="08090019" w:tentative="1">
      <w:start w:val="1"/>
      <w:numFmt w:val="lowerLetter"/>
      <w:lvlText w:val="%2."/>
      <w:lvlJc w:val="left"/>
      <w:pPr>
        <w:ind w:left="3024" w:hanging="360"/>
      </w:pPr>
    </w:lvl>
    <w:lvl w:ilvl="2" w:tplc="0809001B" w:tentative="1">
      <w:start w:val="1"/>
      <w:numFmt w:val="lowerRoman"/>
      <w:lvlText w:val="%3."/>
      <w:lvlJc w:val="right"/>
      <w:pPr>
        <w:ind w:left="3744" w:hanging="180"/>
      </w:pPr>
    </w:lvl>
    <w:lvl w:ilvl="3" w:tplc="0809000F" w:tentative="1">
      <w:start w:val="1"/>
      <w:numFmt w:val="decimal"/>
      <w:lvlText w:val="%4."/>
      <w:lvlJc w:val="left"/>
      <w:pPr>
        <w:ind w:left="4464" w:hanging="360"/>
      </w:pPr>
    </w:lvl>
    <w:lvl w:ilvl="4" w:tplc="08090019" w:tentative="1">
      <w:start w:val="1"/>
      <w:numFmt w:val="lowerLetter"/>
      <w:lvlText w:val="%5."/>
      <w:lvlJc w:val="left"/>
      <w:pPr>
        <w:ind w:left="5184" w:hanging="360"/>
      </w:pPr>
    </w:lvl>
    <w:lvl w:ilvl="5" w:tplc="0809001B" w:tentative="1">
      <w:start w:val="1"/>
      <w:numFmt w:val="lowerRoman"/>
      <w:lvlText w:val="%6."/>
      <w:lvlJc w:val="right"/>
      <w:pPr>
        <w:ind w:left="5904" w:hanging="180"/>
      </w:pPr>
    </w:lvl>
    <w:lvl w:ilvl="6" w:tplc="0809000F" w:tentative="1">
      <w:start w:val="1"/>
      <w:numFmt w:val="decimal"/>
      <w:lvlText w:val="%7."/>
      <w:lvlJc w:val="left"/>
      <w:pPr>
        <w:ind w:left="6624" w:hanging="360"/>
      </w:pPr>
    </w:lvl>
    <w:lvl w:ilvl="7" w:tplc="08090019" w:tentative="1">
      <w:start w:val="1"/>
      <w:numFmt w:val="lowerLetter"/>
      <w:lvlText w:val="%8."/>
      <w:lvlJc w:val="left"/>
      <w:pPr>
        <w:ind w:left="7344" w:hanging="360"/>
      </w:pPr>
    </w:lvl>
    <w:lvl w:ilvl="8" w:tplc="0809001B" w:tentative="1">
      <w:start w:val="1"/>
      <w:numFmt w:val="lowerRoman"/>
      <w:lvlText w:val="%9."/>
      <w:lvlJc w:val="right"/>
      <w:pPr>
        <w:ind w:left="8064" w:hanging="180"/>
      </w:pPr>
    </w:lvl>
  </w:abstractNum>
  <w:abstractNum w:abstractNumId="12" w15:restartNumberingAfterBreak="0">
    <w:nsid w:val="25E90A07"/>
    <w:multiLevelType w:val="multilevel"/>
    <w:tmpl w:val="1CFE9C5E"/>
    <w:lvl w:ilvl="0">
      <w:start w:val="1"/>
      <w:numFmt w:val="lowerLetter"/>
      <w:lvlText w:val="(%1)"/>
      <w:lvlJc w:val="left"/>
      <w:pPr>
        <w:tabs>
          <w:tab w:val="left" w:pos="360"/>
        </w:tabs>
      </w:pPr>
      <w:rPr>
        <w:rFonts w:hint="default"/>
        <w:color w:val="000000"/>
        <w:spacing w:val="0"/>
        <w:w w:val="100"/>
        <w:sz w:val="22"/>
        <w:vertAlign w:val="baseline"/>
        <w:lang w:val="en-US"/>
      </w:rPr>
    </w:lvl>
    <w:lvl w:ilvl="1">
      <w:numFmt w:val="decimal"/>
      <w:lvlText w:val=""/>
      <w:lvlJc w:val="left"/>
    </w:lvl>
    <w:lvl w:ilvl="2">
      <w:start w:val="1"/>
      <w:numFmt w:val="lowerLetter"/>
      <w:lvlText w:val="(%3)"/>
      <w:lvlJc w:val="left"/>
      <w:pPr>
        <w:ind w:left="2664" w:hanging="360"/>
      </w:pPr>
      <w:rPr>
        <w:rFonts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63443DC"/>
    <w:multiLevelType w:val="hybridMultilevel"/>
    <w:tmpl w:val="F680416E"/>
    <w:lvl w:ilvl="0" w:tplc="7A741C00">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7547048"/>
    <w:multiLevelType w:val="hybridMultilevel"/>
    <w:tmpl w:val="747C4366"/>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5" w15:restartNumberingAfterBreak="0">
    <w:nsid w:val="2B44785D"/>
    <w:multiLevelType w:val="hybridMultilevel"/>
    <w:tmpl w:val="6A72245E"/>
    <w:lvl w:ilvl="0" w:tplc="0809001B">
      <w:start w:val="1"/>
      <w:numFmt w:val="lowerRoman"/>
      <w:lvlText w:val="%1."/>
      <w:lvlJc w:val="right"/>
      <w:pPr>
        <w:ind w:left="1512" w:hanging="360"/>
      </w:pPr>
      <w:rPr>
        <w:rFonts w:hint="default"/>
      </w:rPr>
    </w:lvl>
    <w:lvl w:ilvl="1" w:tplc="FFFFFFFF" w:tentative="1">
      <w:start w:val="1"/>
      <w:numFmt w:val="bullet"/>
      <w:lvlText w:val="o"/>
      <w:lvlJc w:val="left"/>
      <w:pPr>
        <w:ind w:left="2232" w:hanging="360"/>
      </w:pPr>
      <w:rPr>
        <w:rFonts w:ascii="Courier New" w:hAnsi="Courier New" w:cs="Courier New" w:hint="default"/>
      </w:rPr>
    </w:lvl>
    <w:lvl w:ilvl="2" w:tplc="FFFFFFFF" w:tentative="1">
      <w:start w:val="1"/>
      <w:numFmt w:val="bullet"/>
      <w:lvlText w:val=""/>
      <w:lvlJc w:val="left"/>
      <w:pPr>
        <w:ind w:left="2952" w:hanging="360"/>
      </w:pPr>
      <w:rPr>
        <w:rFonts w:ascii="Wingdings" w:hAnsi="Wingdings" w:hint="default"/>
      </w:rPr>
    </w:lvl>
    <w:lvl w:ilvl="3" w:tplc="FFFFFFFF" w:tentative="1">
      <w:start w:val="1"/>
      <w:numFmt w:val="bullet"/>
      <w:lvlText w:val=""/>
      <w:lvlJc w:val="left"/>
      <w:pPr>
        <w:ind w:left="3672" w:hanging="360"/>
      </w:pPr>
      <w:rPr>
        <w:rFonts w:ascii="Symbol" w:hAnsi="Symbol" w:hint="default"/>
      </w:rPr>
    </w:lvl>
    <w:lvl w:ilvl="4" w:tplc="FFFFFFFF" w:tentative="1">
      <w:start w:val="1"/>
      <w:numFmt w:val="bullet"/>
      <w:lvlText w:val="o"/>
      <w:lvlJc w:val="left"/>
      <w:pPr>
        <w:ind w:left="4392" w:hanging="360"/>
      </w:pPr>
      <w:rPr>
        <w:rFonts w:ascii="Courier New" w:hAnsi="Courier New" w:cs="Courier New" w:hint="default"/>
      </w:rPr>
    </w:lvl>
    <w:lvl w:ilvl="5" w:tplc="FFFFFFFF" w:tentative="1">
      <w:start w:val="1"/>
      <w:numFmt w:val="bullet"/>
      <w:lvlText w:val=""/>
      <w:lvlJc w:val="left"/>
      <w:pPr>
        <w:ind w:left="5112" w:hanging="360"/>
      </w:pPr>
      <w:rPr>
        <w:rFonts w:ascii="Wingdings" w:hAnsi="Wingdings" w:hint="default"/>
      </w:rPr>
    </w:lvl>
    <w:lvl w:ilvl="6" w:tplc="FFFFFFFF" w:tentative="1">
      <w:start w:val="1"/>
      <w:numFmt w:val="bullet"/>
      <w:lvlText w:val=""/>
      <w:lvlJc w:val="left"/>
      <w:pPr>
        <w:ind w:left="5832" w:hanging="360"/>
      </w:pPr>
      <w:rPr>
        <w:rFonts w:ascii="Symbol" w:hAnsi="Symbol" w:hint="default"/>
      </w:rPr>
    </w:lvl>
    <w:lvl w:ilvl="7" w:tplc="FFFFFFFF" w:tentative="1">
      <w:start w:val="1"/>
      <w:numFmt w:val="bullet"/>
      <w:lvlText w:val="o"/>
      <w:lvlJc w:val="left"/>
      <w:pPr>
        <w:ind w:left="6552" w:hanging="360"/>
      </w:pPr>
      <w:rPr>
        <w:rFonts w:ascii="Courier New" w:hAnsi="Courier New" w:cs="Courier New" w:hint="default"/>
      </w:rPr>
    </w:lvl>
    <w:lvl w:ilvl="8" w:tplc="FFFFFFFF" w:tentative="1">
      <w:start w:val="1"/>
      <w:numFmt w:val="bullet"/>
      <w:lvlText w:val=""/>
      <w:lvlJc w:val="left"/>
      <w:pPr>
        <w:ind w:left="7272" w:hanging="360"/>
      </w:pPr>
      <w:rPr>
        <w:rFonts w:ascii="Wingdings" w:hAnsi="Wingdings" w:hint="default"/>
      </w:rPr>
    </w:lvl>
  </w:abstractNum>
  <w:abstractNum w:abstractNumId="16" w15:restartNumberingAfterBreak="0">
    <w:nsid w:val="2C382A04"/>
    <w:multiLevelType w:val="hybridMultilevel"/>
    <w:tmpl w:val="1F3A6BB0"/>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7" w15:restartNumberingAfterBreak="0">
    <w:nsid w:val="2DDB55E2"/>
    <w:multiLevelType w:val="hybridMultilevel"/>
    <w:tmpl w:val="2DF67B6A"/>
    <w:lvl w:ilvl="0" w:tplc="7A741C00">
      <w:start w:val="1"/>
      <w:numFmt w:val="decimal"/>
      <w:lvlText w:val="(%1)"/>
      <w:lvlJc w:val="left"/>
      <w:pPr>
        <w:ind w:left="1944" w:hanging="360"/>
      </w:pPr>
      <w:rPr>
        <w:rFonts w:hint="default"/>
      </w:rPr>
    </w:lvl>
    <w:lvl w:ilvl="1" w:tplc="08090003" w:tentative="1">
      <w:start w:val="1"/>
      <w:numFmt w:val="bullet"/>
      <w:lvlText w:val="o"/>
      <w:lvlJc w:val="left"/>
      <w:pPr>
        <w:ind w:left="2664" w:hanging="360"/>
      </w:pPr>
      <w:rPr>
        <w:rFonts w:ascii="Courier New" w:hAnsi="Courier New" w:cs="Courier New" w:hint="default"/>
      </w:rPr>
    </w:lvl>
    <w:lvl w:ilvl="2" w:tplc="08090005" w:tentative="1">
      <w:start w:val="1"/>
      <w:numFmt w:val="bullet"/>
      <w:lvlText w:val=""/>
      <w:lvlJc w:val="left"/>
      <w:pPr>
        <w:ind w:left="3384" w:hanging="360"/>
      </w:pPr>
      <w:rPr>
        <w:rFonts w:ascii="Wingdings" w:hAnsi="Wingdings" w:hint="default"/>
      </w:rPr>
    </w:lvl>
    <w:lvl w:ilvl="3" w:tplc="08090001" w:tentative="1">
      <w:start w:val="1"/>
      <w:numFmt w:val="bullet"/>
      <w:lvlText w:val=""/>
      <w:lvlJc w:val="left"/>
      <w:pPr>
        <w:ind w:left="4104" w:hanging="360"/>
      </w:pPr>
      <w:rPr>
        <w:rFonts w:ascii="Symbol" w:hAnsi="Symbol" w:hint="default"/>
      </w:rPr>
    </w:lvl>
    <w:lvl w:ilvl="4" w:tplc="08090003" w:tentative="1">
      <w:start w:val="1"/>
      <w:numFmt w:val="bullet"/>
      <w:lvlText w:val="o"/>
      <w:lvlJc w:val="left"/>
      <w:pPr>
        <w:ind w:left="4824" w:hanging="360"/>
      </w:pPr>
      <w:rPr>
        <w:rFonts w:ascii="Courier New" w:hAnsi="Courier New" w:cs="Courier New" w:hint="default"/>
      </w:rPr>
    </w:lvl>
    <w:lvl w:ilvl="5" w:tplc="08090005" w:tentative="1">
      <w:start w:val="1"/>
      <w:numFmt w:val="bullet"/>
      <w:lvlText w:val=""/>
      <w:lvlJc w:val="left"/>
      <w:pPr>
        <w:ind w:left="5544" w:hanging="360"/>
      </w:pPr>
      <w:rPr>
        <w:rFonts w:ascii="Wingdings" w:hAnsi="Wingdings" w:hint="default"/>
      </w:rPr>
    </w:lvl>
    <w:lvl w:ilvl="6" w:tplc="08090001" w:tentative="1">
      <w:start w:val="1"/>
      <w:numFmt w:val="bullet"/>
      <w:lvlText w:val=""/>
      <w:lvlJc w:val="left"/>
      <w:pPr>
        <w:ind w:left="6264" w:hanging="360"/>
      </w:pPr>
      <w:rPr>
        <w:rFonts w:ascii="Symbol" w:hAnsi="Symbol" w:hint="default"/>
      </w:rPr>
    </w:lvl>
    <w:lvl w:ilvl="7" w:tplc="08090003" w:tentative="1">
      <w:start w:val="1"/>
      <w:numFmt w:val="bullet"/>
      <w:lvlText w:val="o"/>
      <w:lvlJc w:val="left"/>
      <w:pPr>
        <w:ind w:left="6984" w:hanging="360"/>
      </w:pPr>
      <w:rPr>
        <w:rFonts w:ascii="Courier New" w:hAnsi="Courier New" w:cs="Courier New" w:hint="default"/>
      </w:rPr>
    </w:lvl>
    <w:lvl w:ilvl="8" w:tplc="08090005" w:tentative="1">
      <w:start w:val="1"/>
      <w:numFmt w:val="bullet"/>
      <w:lvlText w:val=""/>
      <w:lvlJc w:val="left"/>
      <w:pPr>
        <w:ind w:left="7704" w:hanging="360"/>
      </w:pPr>
      <w:rPr>
        <w:rFonts w:ascii="Wingdings" w:hAnsi="Wingdings" w:hint="default"/>
      </w:rPr>
    </w:lvl>
  </w:abstractNum>
  <w:abstractNum w:abstractNumId="18" w15:restartNumberingAfterBreak="0">
    <w:nsid w:val="30C0004A"/>
    <w:multiLevelType w:val="hybridMultilevel"/>
    <w:tmpl w:val="91E6C63A"/>
    <w:lvl w:ilvl="0" w:tplc="08090001">
      <w:start w:val="1"/>
      <w:numFmt w:val="bullet"/>
      <w:lvlText w:val=""/>
      <w:lvlJc w:val="left"/>
      <w:pPr>
        <w:ind w:left="1584" w:hanging="360"/>
      </w:pPr>
      <w:rPr>
        <w:rFonts w:ascii="Symbol" w:hAnsi="Symbol" w:hint="default"/>
      </w:rPr>
    </w:lvl>
    <w:lvl w:ilvl="1" w:tplc="08090003" w:tentative="1">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19" w15:restartNumberingAfterBreak="0">
    <w:nsid w:val="34A433BD"/>
    <w:multiLevelType w:val="hybridMultilevel"/>
    <w:tmpl w:val="1040B684"/>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20" w15:restartNumberingAfterBreak="0">
    <w:nsid w:val="3902508A"/>
    <w:multiLevelType w:val="hybridMultilevel"/>
    <w:tmpl w:val="1304CB50"/>
    <w:lvl w:ilvl="0" w:tplc="7A741C00">
      <w:start w:val="1"/>
      <w:numFmt w:val="decimal"/>
      <w:lvlText w:val="(%1)"/>
      <w:lvlJc w:val="left"/>
      <w:pPr>
        <w:ind w:left="1152" w:hanging="360"/>
      </w:pPr>
      <w:rPr>
        <w:rFonts w:hint="default"/>
      </w:rPr>
    </w:lvl>
    <w:lvl w:ilvl="1" w:tplc="72605064">
      <w:start w:val="1"/>
      <w:numFmt w:val="decimal"/>
      <w:lvlText w:val="%2."/>
      <w:lvlJc w:val="left"/>
      <w:pPr>
        <w:ind w:left="1872" w:hanging="360"/>
      </w:pPr>
      <w:rPr>
        <w:rFonts w:ascii="Arial" w:eastAsia="Arial" w:hAnsi="Arial" w:cs="Arial"/>
      </w:r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21" w15:restartNumberingAfterBreak="0">
    <w:nsid w:val="3D187161"/>
    <w:multiLevelType w:val="multilevel"/>
    <w:tmpl w:val="7DE647D4"/>
    <w:lvl w:ilvl="0">
      <w:start w:val="1"/>
      <w:numFmt w:val="decimal"/>
      <w:lvlText w:val="%1."/>
      <w:lvlJc w:val="left"/>
      <w:pPr>
        <w:ind w:left="510" w:hanging="283"/>
      </w:pPr>
      <w:rPr>
        <w:rFonts w:hint="default"/>
        <w:b w:val="0"/>
        <w:bCs/>
      </w:rPr>
    </w:lvl>
    <w:lvl w:ilvl="1">
      <w:start w:val="1"/>
      <w:numFmt w:val="lowerLetter"/>
      <w:lvlText w:val="%2."/>
      <w:lvlJc w:val="left"/>
      <w:pPr>
        <w:ind w:left="1434" w:hanging="283"/>
      </w:pPr>
      <w:rPr>
        <w:rFonts w:hint="default"/>
      </w:rPr>
    </w:lvl>
    <w:lvl w:ilvl="2">
      <w:start w:val="1"/>
      <w:numFmt w:val="lowerRoman"/>
      <w:lvlText w:val="%3."/>
      <w:lvlJc w:val="right"/>
      <w:pPr>
        <w:ind w:left="2358" w:hanging="283"/>
      </w:pPr>
      <w:rPr>
        <w:rFonts w:hint="default"/>
      </w:rPr>
    </w:lvl>
    <w:lvl w:ilvl="3">
      <w:start w:val="1"/>
      <w:numFmt w:val="decimal"/>
      <w:lvlText w:val="%4."/>
      <w:lvlJc w:val="left"/>
      <w:pPr>
        <w:ind w:left="3282" w:hanging="283"/>
      </w:pPr>
      <w:rPr>
        <w:rFonts w:hint="default"/>
      </w:rPr>
    </w:lvl>
    <w:lvl w:ilvl="4">
      <w:start w:val="1"/>
      <w:numFmt w:val="lowerLetter"/>
      <w:lvlText w:val="%5."/>
      <w:lvlJc w:val="left"/>
      <w:pPr>
        <w:ind w:left="4206" w:hanging="283"/>
      </w:pPr>
      <w:rPr>
        <w:rFonts w:hint="default"/>
      </w:rPr>
    </w:lvl>
    <w:lvl w:ilvl="5">
      <w:start w:val="1"/>
      <w:numFmt w:val="lowerRoman"/>
      <w:lvlText w:val="%6."/>
      <w:lvlJc w:val="right"/>
      <w:pPr>
        <w:ind w:left="5130" w:hanging="283"/>
      </w:pPr>
      <w:rPr>
        <w:rFonts w:hint="default"/>
      </w:rPr>
    </w:lvl>
    <w:lvl w:ilvl="6">
      <w:start w:val="1"/>
      <w:numFmt w:val="decimal"/>
      <w:lvlText w:val="%7."/>
      <w:lvlJc w:val="left"/>
      <w:pPr>
        <w:ind w:left="6054" w:hanging="283"/>
      </w:pPr>
      <w:rPr>
        <w:rFonts w:hint="default"/>
      </w:rPr>
    </w:lvl>
    <w:lvl w:ilvl="7">
      <w:start w:val="1"/>
      <w:numFmt w:val="lowerLetter"/>
      <w:lvlText w:val="%8."/>
      <w:lvlJc w:val="left"/>
      <w:pPr>
        <w:ind w:left="6978" w:hanging="283"/>
      </w:pPr>
      <w:rPr>
        <w:rFonts w:hint="default"/>
      </w:rPr>
    </w:lvl>
    <w:lvl w:ilvl="8">
      <w:start w:val="1"/>
      <w:numFmt w:val="lowerRoman"/>
      <w:lvlText w:val="%9."/>
      <w:lvlJc w:val="right"/>
      <w:pPr>
        <w:ind w:left="7902" w:hanging="283"/>
      </w:pPr>
      <w:rPr>
        <w:rFonts w:hint="default"/>
      </w:rPr>
    </w:lvl>
  </w:abstractNum>
  <w:abstractNum w:abstractNumId="22" w15:restartNumberingAfterBreak="0">
    <w:nsid w:val="4EFF4DB9"/>
    <w:multiLevelType w:val="hybridMultilevel"/>
    <w:tmpl w:val="F894E518"/>
    <w:lvl w:ilvl="0" w:tplc="FFFFFFFF">
      <w:start w:val="1"/>
      <w:numFmt w:val="decimal"/>
      <w:lvlText w:val="(%1)"/>
      <w:lvlJc w:val="left"/>
      <w:pPr>
        <w:ind w:left="1152" w:hanging="360"/>
      </w:pPr>
      <w:rPr>
        <w:rFonts w:hint="default"/>
      </w:rPr>
    </w:lvl>
    <w:lvl w:ilvl="1" w:tplc="28E4F6B4">
      <w:start w:val="1"/>
      <w:numFmt w:val="lowerLetter"/>
      <w:lvlText w:val="(%2)"/>
      <w:lvlJc w:val="left"/>
      <w:pPr>
        <w:ind w:left="1872" w:hanging="360"/>
      </w:pPr>
      <w:rPr>
        <w:rFonts w:hint="default"/>
      </w:rPr>
    </w:lvl>
    <w:lvl w:ilvl="2" w:tplc="731EE2AE">
      <w:start w:val="72"/>
      <w:numFmt w:val="decimal"/>
      <w:lvlText w:val="%3."/>
      <w:lvlJc w:val="left"/>
      <w:pPr>
        <w:ind w:left="2772" w:hanging="360"/>
      </w:pPr>
      <w:rPr>
        <w:rFonts w:hint="default"/>
      </w:rPr>
    </w:lvl>
    <w:lvl w:ilvl="3" w:tplc="FFFFFFFF" w:tentative="1">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23" w15:restartNumberingAfterBreak="0">
    <w:nsid w:val="524430CF"/>
    <w:multiLevelType w:val="hybridMultilevel"/>
    <w:tmpl w:val="41A01AE6"/>
    <w:lvl w:ilvl="0" w:tplc="26C24EA4">
      <w:start w:val="1"/>
      <w:numFmt w:val="lowerRoman"/>
      <w:lvlText w:val="(%1)"/>
      <w:lvlJc w:val="left"/>
      <w:pPr>
        <w:ind w:left="2664" w:hanging="720"/>
      </w:pPr>
      <w:rPr>
        <w:rFonts w:hint="default"/>
      </w:rPr>
    </w:lvl>
    <w:lvl w:ilvl="1" w:tplc="FFFFFFFF" w:tentative="1">
      <w:start w:val="1"/>
      <w:numFmt w:val="lowerLetter"/>
      <w:lvlText w:val="%2."/>
      <w:lvlJc w:val="left"/>
      <w:pPr>
        <w:ind w:left="3024" w:hanging="360"/>
      </w:pPr>
    </w:lvl>
    <w:lvl w:ilvl="2" w:tplc="FFFFFFFF" w:tentative="1">
      <w:start w:val="1"/>
      <w:numFmt w:val="lowerRoman"/>
      <w:lvlText w:val="%3."/>
      <w:lvlJc w:val="right"/>
      <w:pPr>
        <w:ind w:left="3744" w:hanging="180"/>
      </w:pPr>
    </w:lvl>
    <w:lvl w:ilvl="3" w:tplc="FFFFFFFF" w:tentative="1">
      <w:start w:val="1"/>
      <w:numFmt w:val="decimal"/>
      <w:lvlText w:val="%4."/>
      <w:lvlJc w:val="left"/>
      <w:pPr>
        <w:ind w:left="4464" w:hanging="360"/>
      </w:pPr>
    </w:lvl>
    <w:lvl w:ilvl="4" w:tplc="FFFFFFFF" w:tentative="1">
      <w:start w:val="1"/>
      <w:numFmt w:val="lowerLetter"/>
      <w:lvlText w:val="%5."/>
      <w:lvlJc w:val="left"/>
      <w:pPr>
        <w:ind w:left="5184" w:hanging="360"/>
      </w:pPr>
    </w:lvl>
    <w:lvl w:ilvl="5" w:tplc="FFFFFFFF" w:tentative="1">
      <w:start w:val="1"/>
      <w:numFmt w:val="lowerRoman"/>
      <w:lvlText w:val="%6."/>
      <w:lvlJc w:val="right"/>
      <w:pPr>
        <w:ind w:left="5904" w:hanging="180"/>
      </w:pPr>
    </w:lvl>
    <w:lvl w:ilvl="6" w:tplc="FFFFFFFF" w:tentative="1">
      <w:start w:val="1"/>
      <w:numFmt w:val="decimal"/>
      <w:lvlText w:val="%7."/>
      <w:lvlJc w:val="left"/>
      <w:pPr>
        <w:ind w:left="6624" w:hanging="360"/>
      </w:pPr>
    </w:lvl>
    <w:lvl w:ilvl="7" w:tplc="FFFFFFFF" w:tentative="1">
      <w:start w:val="1"/>
      <w:numFmt w:val="lowerLetter"/>
      <w:lvlText w:val="%8."/>
      <w:lvlJc w:val="left"/>
      <w:pPr>
        <w:ind w:left="7344" w:hanging="360"/>
      </w:pPr>
    </w:lvl>
    <w:lvl w:ilvl="8" w:tplc="FFFFFFFF" w:tentative="1">
      <w:start w:val="1"/>
      <w:numFmt w:val="lowerRoman"/>
      <w:lvlText w:val="%9."/>
      <w:lvlJc w:val="right"/>
      <w:pPr>
        <w:ind w:left="8064" w:hanging="180"/>
      </w:pPr>
    </w:lvl>
  </w:abstractNum>
  <w:abstractNum w:abstractNumId="24" w15:restartNumberingAfterBreak="0">
    <w:nsid w:val="53D5656C"/>
    <w:multiLevelType w:val="multilevel"/>
    <w:tmpl w:val="47FABA40"/>
    <w:lvl w:ilvl="0">
      <w:start w:val="1"/>
      <w:numFmt w:val="lowerLetter"/>
      <w:lvlText w:val="(%1)"/>
      <w:lvlJc w:val="left"/>
      <w:pPr>
        <w:tabs>
          <w:tab w:val="left" w:pos="360"/>
        </w:tabs>
      </w:pPr>
      <w:rPr>
        <w:rFonts w:ascii="Arial" w:eastAsia="Arial" w:hAnsi="Arial"/>
        <w:color w:val="000000"/>
        <w:spacing w:val="-1"/>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26742D"/>
    <w:multiLevelType w:val="multilevel"/>
    <w:tmpl w:val="68B67128"/>
    <w:lvl w:ilvl="0">
      <w:numFmt w:val="bullet"/>
      <w:lvlText w:val="·"/>
      <w:lvlJc w:val="left"/>
      <w:pPr>
        <w:tabs>
          <w:tab w:val="left" w:pos="360"/>
        </w:tabs>
      </w:pPr>
      <w:rPr>
        <w:rFonts w:ascii="Symbol" w:eastAsia="Symbol" w:hAnsi="Symbol"/>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09914F7"/>
    <w:multiLevelType w:val="hybridMultilevel"/>
    <w:tmpl w:val="F7A4D47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1CB7AF9"/>
    <w:multiLevelType w:val="hybridMultilevel"/>
    <w:tmpl w:val="12D287B8"/>
    <w:lvl w:ilvl="0" w:tplc="322AD54E">
      <w:start w:val="72"/>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7B13763"/>
    <w:multiLevelType w:val="hybridMultilevel"/>
    <w:tmpl w:val="2DBC00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686067DA"/>
    <w:multiLevelType w:val="multilevel"/>
    <w:tmpl w:val="A99A24AA"/>
    <w:styleLink w:val="Numberinglist"/>
    <w:lvl w:ilvl="0">
      <w:start w:val="1"/>
      <w:numFmt w:val="decimal"/>
      <w:lvlText w:val="%1."/>
      <w:lvlJc w:val="left"/>
      <w:pPr>
        <w:ind w:left="720" w:hanging="363"/>
      </w:pPr>
      <w:rPr>
        <w:rFonts w:ascii="Arial" w:hAnsi="Arial" w:hint="default"/>
        <w:b w:val="0"/>
        <w:i w:val="0"/>
        <w:sz w:val="24"/>
      </w:rPr>
    </w:lvl>
    <w:lvl w:ilvl="1">
      <w:start w:val="1"/>
      <w:numFmt w:val="lowerLetter"/>
      <w:lvlText w:val="(%2)"/>
      <w:lvlJc w:val="left"/>
      <w:pPr>
        <w:ind w:left="1497" w:hanging="363"/>
      </w:pPr>
      <w:rPr>
        <w:rFonts w:ascii="Arial" w:hAnsi="Arial" w:hint="default"/>
        <w:b w:val="0"/>
        <w:i w:val="0"/>
        <w:sz w:val="24"/>
      </w:rPr>
    </w:lvl>
    <w:lvl w:ilvl="2">
      <w:start w:val="1"/>
      <w:numFmt w:val="lowerRoman"/>
      <w:lvlText w:val="%3."/>
      <w:lvlJc w:val="right"/>
      <w:pPr>
        <w:ind w:left="2274" w:hanging="363"/>
      </w:pPr>
      <w:rPr>
        <w:rFonts w:ascii="Arial" w:hAnsi="Arial" w:hint="default"/>
        <w:b w:val="0"/>
        <w:i w:val="0"/>
        <w:sz w:val="24"/>
      </w:rPr>
    </w:lvl>
    <w:lvl w:ilvl="3">
      <w:start w:val="1"/>
      <w:numFmt w:val="decimal"/>
      <w:lvlText w:val="%4."/>
      <w:lvlJc w:val="left"/>
      <w:pPr>
        <w:ind w:left="3051" w:hanging="363"/>
      </w:pPr>
      <w:rPr>
        <w:rFonts w:hint="default"/>
      </w:rPr>
    </w:lvl>
    <w:lvl w:ilvl="4">
      <w:start w:val="1"/>
      <w:numFmt w:val="lowerLetter"/>
      <w:lvlText w:val="%5."/>
      <w:lvlJc w:val="left"/>
      <w:pPr>
        <w:ind w:left="3828" w:hanging="363"/>
      </w:pPr>
      <w:rPr>
        <w:rFonts w:hint="default"/>
      </w:rPr>
    </w:lvl>
    <w:lvl w:ilvl="5">
      <w:start w:val="1"/>
      <w:numFmt w:val="lowerRoman"/>
      <w:lvlText w:val="%6."/>
      <w:lvlJc w:val="right"/>
      <w:pPr>
        <w:ind w:left="4605" w:hanging="363"/>
      </w:pPr>
      <w:rPr>
        <w:rFonts w:hint="default"/>
      </w:rPr>
    </w:lvl>
    <w:lvl w:ilvl="6">
      <w:start w:val="1"/>
      <w:numFmt w:val="decimal"/>
      <w:lvlText w:val="%7."/>
      <w:lvlJc w:val="left"/>
      <w:pPr>
        <w:ind w:left="5382" w:hanging="363"/>
      </w:pPr>
      <w:rPr>
        <w:rFonts w:hint="default"/>
      </w:rPr>
    </w:lvl>
    <w:lvl w:ilvl="7">
      <w:start w:val="1"/>
      <w:numFmt w:val="lowerLetter"/>
      <w:lvlText w:val="%8."/>
      <w:lvlJc w:val="left"/>
      <w:pPr>
        <w:ind w:left="6159" w:hanging="363"/>
      </w:pPr>
      <w:rPr>
        <w:rFonts w:hint="default"/>
      </w:rPr>
    </w:lvl>
    <w:lvl w:ilvl="8">
      <w:start w:val="1"/>
      <w:numFmt w:val="lowerRoman"/>
      <w:lvlText w:val="%9."/>
      <w:lvlJc w:val="right"/>
      <w:pPr>
        <w:ind w:left="6936" w:hanging="363"/>
      </w:pPr>
      <w:rPr>
        <w:rFonts w:ascii="Arial" w:hAnsi="Arial" w:hint="default"/>
      </w:rPr>
    </w:lvl>
  </w:abstractNum>
  <w:abstractNum w:abstractNumId="30" w15:restartNumberingAfterBreak="0">
    <w:nsid w:val="6B9C0063"/>
    <w:multiLevelType w:val="hybridMultilevel"/>
    <w:tmpl w:val="19A899E8"/>
    <w:lvl w:ilvl="0" w:tplc="16948FDE">
      <w:start w:val="1"/>
      <w:numFmt w:val="bullet"/>
      <w:lvlText w:val=""/>
      <w:lvlJc w:val="left"/>
      <w:pPr>
        <w:ind w:left="1440" w:hanging="360"/>
      </w:pPr>
      <w:rPr>
        <w:rFonts w:ascii="Symbol" w:hAnsi="Symbol" w:hint="default"/>
        <w:b w:val="0"/>
        <w:i w:val="0"/>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3E253A"/>
    <w:multiLevelType w:val="hybridMultilevel"/>
    <w:tmpl w:val="92A44382"/>
    <w:lvl w:ilvl="0" w:tplc="F96C3B4E">
      <w:start w:val="6"/>
      <w:numFmt w:val="decimal"/>
      <w:lvlText w:val="(%1)"/>
      <w:lvlJc w:val="left"/>
      <w:pPr>
        <w:ind w:left="19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013C54"/>
    <w:multiLevelType w:val="multilevel"/>
    <w:tmpl w:val="A4EC8A18"/>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BD73AA9"/>
    <w:multiLevelType w:val="hybridMultilevel"/>
    <w:tmpl w:val="6986C51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F15166D"/>
    <w:multiLevelType w:val="hybridMultilevel"/>
    <w:tmpl w:val="D6760CBE"/>
    <w:lvl w:ilvl="0" w:tplc="16948FDE">
      <w:start w:val="1"/>
      <w:numFmt w:val="bullet"/>
      <w:lvlText w:val=""/>
      <w:lvlJc w:val="left"/>
      <w:pPr>
        <w:ind w:left="1440" w:hanging="360"/>
      </w:pPr>
      <w:rPr>
        <w:rFonts w:ascii="Symbol" w:hAnsi="Symbol" w:hint="default"/>
        <w:b w:val="0"/>
        <w:i w:val="0"/>
        <w:sz w:val="24"/>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54424384">
    <w:abstractNumId w:val="25"/>
  </w:num>
  <w:num w:numId="2" w16cid:durableId="905800105">
    <w:abstractNumId w:val="24"/>
  </w:num>
  <w:num w:numId="3" w16cid:durableId="1771123431">
    <w:abstractNumId w:val="8"/>
  </w:num>
  <w:num w:numId="4" w16cid:durableId="1931086460">
    <w:abstractNumId w:val="27"/>
  </w:num>
  <w:num w:numId="5" w16cid:durableId="1459949925">
    <w:abstractNumId w:val="4"/>
    <w:lvlOverride w:ilvl="0">
      <w:lvl w:ilvl="0">
        <w:start w:val="1"/>
        <w:numFmt w:val="decimal"/>
        <w:lvlText w:val="%1."/>
        <w:lvlJc w:val="left"/>
        <w:pPr>
          <w:ind w:left="720" w:hanging="363"/>
        </w:pPr>
        <w:rPr>
          <w:rFonts w:ascii="Calibri" w:hAnsi="Calibri" w:cs="Calibri" w:hint="default"/>
          <w:b w:val="0"/>
          <w:i w:val="0"/>
          <w:sz w:val="24"/>
        </w:rPr>
      </w:lvl>
    </w:lvlOverride>
    <w:lvlOverride w:ilvl="1">
      <w:lvl w:ilvl="1">
        <w:start w:val="1"/>
        <w:numFmt w:val="lowerLetter"/>
        <w:lvlText w:val="(%2)"/>
        <w:lvlJc w:val="left"/>
        <w:pPr>
          <w:ind w:left="1497" w:hanging="363"/>
        </w:pPr>
        <w:rPr>
          <w:rFonts w:ascii="Arial" w:hAnsi="Arial" w:hint="default"/>
          <w:b w:val="0"/>
          <w:i w:val="0"/>
          <w:sz w:val="24"/>
        </w:rPr>
      </w:lvl>
    </w:lvlOverride>
    <w:lvlOverride w:ilvl="2">
      <w:lvl w:ilvl="2">
        <w:start w:val="1"/>
        <w:numFmt w:val="lowerRoman"/>
        <w:lvlText w:val="%3."/>
        <w:lvlJc w:val="right"/>
        <w:pPr>
          <w:ind w:left="2274" w:hanging="363"/>
        </w:pPr>
        <w:rPr>
          <w:rFonts w:ascii="Arial" w:hAnsi="Arial" w:hint="default"/>
          <w:b w:val="0"/>
          <w:i w:val="0"/>
          <w:sz w:val="24"/>
        </w:rPr>
      </w:lvl>
    </w:lvlOverride>
    <w:lvlOverride w:ilvl="3">
      <w:lvl w:ilvl="3">
        <w:start w:val="1"/>
        <w:numFmt w:val="decimal"/>
        <w:lvlText w:val="%4."/>
        <w:lvlJc w:val="left"/>
        <w:pPr>
          <w:ind w:left="3051" w:hanging="363"/>
        </w:pPr>
        <w:rPr>
          <w:rFonts w:hint="default"/>
        </w:rPr>
      </w:lvl>
    </w:lvlOverride>
    <w:lvlOverride w:ilvl="4">
      <w:lvl w:ilvl="4">
        <w:start w:val="1"/>
        <w:numFmt w:val="lowerLetter"/>
        <w:lvlText w:val="%5."/>
        <w:lvlJc w:val="left"/>
        <w:pPr>
          <w:ind w:left="3828" w:hanging="363"/>
        </w:pPr>
        <w:rPr>
          <w:rFonts w:hint="default"/>
        </w:rPr>
      </w:lvl>
    </w:lvlOverride>
    <w:lvlOverride w:ilvl="5">
      <w:lvl w:ilvl="5">
        <w:start w:val="1"/>
        <w:numFmt w:val="lowerRoman"/>
        <w:lvlText w:val="%6."/>
        <w:lvlJc w:val="right"/>
        <w:pPr>
          <w:ind w:left="4605" w:hanging="363"/>
        </w:pPr>
        <w:rPr>
          <w:rFonts w:hint="default"/>
        </w:rPr>
      </w:lvl>
    </w:lvlOverride>
    <w:lvlOverride w:ilvl="6">
      <w:lvl w:ilvl="6">
        <w:start w:val="1"/>
        <w:numFmt w:val="decimal"/>
        <w:lvlText w:val="%7."/>
        <w:lvlJc w:val="left"/>
        <w:pPr>
          <w:ind w:left="5382" w:hanging="363"/>
        </w:pPr>
        <w:rPr>
          <w:rFonts w:hint="default"/>
        </w:rPr>
      </w:lvl>
    </w:lvlOverride>
    <w:lvlOverride w:ilvl="7">
      <w:lvl w:ilvl="7">
        <w:start w:val="1"/>
        <w:numFmt w:val="lowerLetter"/>
        <w:lvlText w:val="%8."/>
        <w:lvlJc w:val="left"/>
        <w:pPr>
          <w:ind w:left="6159" w:hanging="363"/>
        </w:pPr>
        <w:rPr>
          <w:rFonts w:hint="default"/>
        </w:rPr>
      </w:lvl>
    </w:lvlOverride>
    <w:lvlOverride w:ilvl="8">
      <w:lvl w:ilvl="8">
        <w:start w:val="1"/>
        <w:numFmt w:val="lowerRoman"/>
        <w:lvlText w:val="%9."/>
        <w:lvlJc w:val="right"/>
        <w:pPr>
          <w:ind w:left="6936" w:hanging="363"/>
        </w:pPr>
        <w:rPr>
          <w:rFonts w:ascii="Arial" w:hAnsi="Arial" w:hint="default"/>
        </w:rPr>
      </w:lvl>
    </w:lvlOverride>
  </w:num>
  <w:num w:numId="6" w16cid:durableId="1581983149">
    <w:abstractNumId w:val="5"/>
  </w:num>
  <w:num w:numId="7" w16cid:durableId="1429814296">
    <w:abstractNumId w:val="17"/>
  </w:num>
  <w:num w:numId="8" w16cid:durableId="1162504315">
    <w:abstractNumId w:val="2"/>
  </w:num>
  <w:num w:numId="9" w16cid:durableId="1591700850">
    <w:abstractNumId w:val="12"/>
  </w:num>
  <w:num w:numId="10" w16cid:durableId="1010986923">
    <w:abstractNumId w:val="20"/>
  </w:num>
  <w:num w:numId="11" w16cid:durableId="99838787">
    <w:abstractNumId w:val="22"/>
  </w:num>
  <w:num w:numId="12" w16cid:durableId="978650602">
    <w:abstractNumId w:val="6"/>
  </w:num>
  <w:num w:numId="13" w16cid:durableId="2100448390">
    <w:abstractNumId w:val="1"/>
  </w:num>
  <w:num w:numId="14" w16cid:durableId="1281451818">
    <w:abstractNumId w:val="34"/>
  </w:num>
  <w:num w:numId="15" w16cid:durableId="265886126">
    <w:abstractNumId w:val="11"/>
  </w:num>
  <w:num w:numId="16" w16cid:durableId="11685030">
    <w:abstractNumId w:val="19"/>
  </w:num>
  <w:num w:numId="17" w16cid:durableId="1461610683">
    <w:abstractNumId w:val="14"/>
  </w:num>
  <w:num w:numId="18" w16cid:durableId="2118019473">
    <w:abstractNumId w:val="16"/>
  </w:num>
  <w:num w:numId="19" w16cid:durableId="1466269608">
    <w:abstractNumId w:val="18"/>
  </w:num>
  <w:num w:numId="20" w16cid:durableId="1050105938">
    <w:abstractNumId w:val="7"/>
  </w:num>
  <w:num w:numId="21" w16cid:durableId="1973554913">
    <w:abstractNumId w:val="3"/>
  </w:num>
  <w:num w:numId="22" w16cid:durableId="562452368">
    <w:abstractNumId w:val="33"/>
  </w:num>
  <w:num w:numId="23" w16cid:durableId="1105658812">
    <w:abstractNumId w:val="29"/>
  </w:num>
  <w:num w:numId="24" w16cid:durableId="1135097491">
    <w:abstractNumId w:val="26"/>
  </w:num>
  <w:num w:numId="25" w16cid:durableId="1253003870">
    <w:abstractNumId w:val="9"/>
  </w:num>
  <w:num w:numId="26" w16cid:durableId="444883897">
    <w:abstractNumId w:val="30"/>
  </w:num>
  <w:num w:numId="27" w16cid:durableId="452595778">
    <w:abstractNumId w:val="28"/>
  </w:num>
  <w:num w:numId="28" w16cid:durableId="1422481706">
    <w:abstractNumId w:val="32"/>
  </w:num>
  <w:num w:numId="29" w16cid:durableId="924339048">
    <w:abstractNumId w:val="23"/>
  </w:num>
  <w:num w:numId="30" w16cid:durableId="78255623">
    <w:abstractNumId w:val="21"/>
  </w:num>
  <w:num w:numId="31" w16cid:durableId="625041795">
    <w:abstractNumId w:val="10"/>
  </w:num>
  <w:num w:numId="32" w16cid:durableId="689449076">
    <w:abstractNumId w:val="0"/>
  </w:num>
  <w:num w:numId="33" w16cid:durableId="1763136104">
    <w:abstractNumId w:val="15"/>
  </w:num>
  <w:num w:numId="34" w16cid:durableId="1737628460">
    <w:abstractNumId w:val="13"/>
  </w:num>
  <w:num w:numId="35" w16cid:durableId="1237201542">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920"/>
    <w:rsid w:val="00004CD8"/>
    <w:rsid w:val="00010BFA"/>
    <w:rsid w:val="00022C9B"/>
    <w:rsid w:val="00022E42"/>
    <w:rsid w:val="00035419"/>
    <w:rsid w:val="00045C39"/>
    <w:rsid w:val="00057A0B"/>
    <w:rsid w:val="00061CF9"/>
    <w:rsid w:val="00065B3F"/>
    <w:rsid w:val="00065BDC"/>
    <w:rsid w:val="00067D23"/>
    <w:rsid w:val="000714EE"/>
    <w:rsid w:val="00082695"/>
    <w:rsid w:val="00082D4E"/>
    <w:rsid w:val="00084A88"/>
    <w:rsid w:val="00084E3C"/>
    <w:rsid w:val="0008698D"/>
    <w:rsid w:val="0009004B"/>
    <w:rsid w:val="00093770"/>
    <w:rsid w:val="000946A7"/>
    <w:rsid w:val="000A623A"/>
    <w:rsid w:val="000A7EAD"/>
    <w:rsid w:val="000B2033"/>
    <w:rsid w:val="000B4E99"/>
    <w:rsid w:val="000C4209"/>
    <w:rsid w:val="000D750D"/>
    <w:rsid w:val="000D7CC3"/>
    <w:rsid w:val="000D7FB8"/>
    <w:rsid w:val="000E0219"/>
    <w:rsid w:val="000E3FDA"/>
    <w:rsid w:val="000F16F8"/>
    <w:rsid w:val="000F6031"/>
    <w:rsid w:val="001001D1"/>
    <w:rsid w:val="00101639"/>
    <w:rsid w:val="00105B48"/>
    <w:rsid w:val="0010755F"/>
    <w:rsid w:val="00114FFD"/>
    <w:rsid w:val="001161D6"/>
    <w:rsid w:val="00117778"/>
    <w:rsid w:val="00117780"/>
    <w:rsid w:val="00136145"/>
    <w:rsid w:val="00140221"/>
    <w:rsid w:val="00141EB1"/>
    <w:rsid w:val="00144377"/>
    <w:rsid w:val="001456B7"/>
    <w:rsid w:val="00145E7C"/>
    <w:rsid w:val="001469CA"/>
    <w:rsid w:val="00152920"/>
    <w:rsid w:val="00166722"/>
    <w:rsid w:val="00174C9C"/>
    <w:rsid w:val="0017744A"/>
    <w:rsid w:val="00180293"/>
    <w:rsid w:val="00181C27"/>
    <w:rsid w:val="0019219B"/>
    <w:rsid w:val="00196A79"/>
    <w:rsid w:val="00196D50"/>
    <w:rsid w:val="001A081B"/>
    <w:rsid w:val="001A6CE4"/>
    <w:rsid w:val="001B296B"/>
    <w:rsid w:val="001B2B0B"/>
    <w:rsid w:val="001B5346"/>
    <w:rsid w:val="001B5C10"/>
    <w:rsid w:val="001B6D60"/>
    <w:rsid w:val="001B749D"/>
    <w:rsid w:val="001B7FBB"/>
    <w:rsid w:val="001C183D"/>
    <w:rsid w:val="001D011D"/>
    <w:rsid w:val="001D1164"/>
    <w:rsid w:val="001D5DA8"/>
    <w:rsid w:val="001E26EB"/>
    <w:rsid w:val="001E5783"/>
    <w:rsid w:val="001F2162"/>
    <w:rsid w:val="001F4D04"/>
    <w:rsid w:val="00200CCC"/>
    <w:rsid w:val="002079DB"/>
    <w:rsid w:val="002165E8"/>
    <w:rsid w:val="00217FD2"/>
    <w:rsid w:val="0022542D"/>
    <w:rsid w:val="002273F0"/>
    <w:rsid w:val="002331D0"/>
    <w:rsid w:val="00241419"/>
    <w:rsid w:val="00241BED"/>
    <w:rsid w:val="0024577C"/>
    <w:rsid w:val="00251FAF"/>
    <w:rsid w:val="00264B4C"/>
    <w:rsid w:val="002700F9"/>
    <w:rsid w:val="0027079F"/>
    <w:rsid w:val="00273AD5"/>
    <w:rsid w:val="00275A4A"/>
    <w:rsid w:val="0028264B"/>
    <w:rsid w:val="00283657"/>
    <w:rsid w:val="00284850"/>
    <w:rsid w:val="00290A15"/>
    <w:rsid w:val="00293770"/>
    <w:rsid w:val="002957EC"/>
    <w:rsid w:val="00296DEB"/>
    <w:rsid w:val="002A4CA8"/>
    <w:rsid w:val="002A651E"/>
    <w:rsid w:val="002A7FF3"/>
    <w:rsid w:val="002B0817"/>
    <w:rsid w:val="002B0F61"/>
    <w:rsid w:val="002B23BE"/>
    <w:rsid w:val="002B3666"/>
    <w:rsid w:val="002B3D47"/>
    <w:rsid w:val="002B5B23"/>
    <w:rsid w:val="002C571F"/>
    <w:rsid w:val="002C6539"/>
    <w:rsid w:val="002D5E19"/>
    <w:rsid w:val="002E0A46"/>
    <w:rsid w:val="002E1F3F"/>
    <w:rsid w:val="002E31A0"/>
    <w:rsid w:val="002E33CC"/>
    <w:rsid w:val="002E41DF"/>
    <w:rsid w:val="002F1794"/>
    <w:rsid w:val="002F3560"/>
    <w:rsid w:val="002F4086"/>
    <w:rsid w:val="002F56E3"/>
    <w:rsid w:val="003012EA"/>
    <w:rsid w:val="00302F8D"/>
    <w:rsid w:val="00304883"/>
    <w:rsid w:val="003059D5"/>
    <w:rsid w:val="003158AB"/>
    <w:rsid w:val="00316878"/>
    <w:rsid w:val="003272A5"/>
    <w:rsid w:val="00331A65"/>
    <w:rsid w:val="003332D4"/>
    <w:rsid w:val="00334A5C"/>
    <w:rsid w:val="00335951"/>
    <w:rsid w:val="003429F7"/>
    <w:rsid w:val="003434C2"/>
    <w:rsid w:val="0034384E"/>
    <w:rsid w:val="00344A85"/>
    <w:rsid w:val="00345DC8"/>
    <w:rsid w:val="00345FDB"/>
    <w:rsid w:val="00350ECF"/>
    <w:rsid w:val="00354BB1"/>
    <w:rsid w:val="00355A02"/>
    <w:rsid w:val="00364DB1"/>
    <w:rsid w:val="00371434"/>
    <w:rsid w:val="00376A86"/>
    <w:rsid w:val="003856AA"/>
    <w:rsid w:val="00387A81"/>
    <w:rsid w:val="00390BE7"/>
    <w:rsid w:val="00391252"/>
    <w:rsid w:val="0039126E"/>
    <w:rsid w:val="00397FC2"/>
    <w:rsid w:val="003A0C81"/>
    <w:rsid w:val="003A12AE"/>
    <w:rsid w:val="003B132D"/>
    <w:rsid w:val="003C2CAB"/>
    <w:rsid w:val="003C4878"/>
    <w:rsid w:val="003C62AB"/>
    <w:rsid w:val="003C7631"/>
    <w:rsid w:val="003C78B7"/>
    <w:rsid w:val="003D0D08"/>
    <w:rsid w:val="003D154E"/>
    <w:rsid w:val="003E11E1"/>
    <w:rsid w:val="003E4441"/>
    <w:rsid w:val="003F2A1F"/>
    <w:rsid w:val="003F3236"/>
    <w:rsid w:val="003F6EB1"/>
    <w:rsid w:val="0040199F"/>
    <w:rsid w:val="004036C0"/>
    <w:rsid w:val="00404F0F"/>
    <w:rsid w:val="004146DF"/>
    <w:rsid w:val="00415879"/>
    <w:rsid w:val="00417904"/>
    <w:rsid w:val="00417F0B"/>
    <w:rsid w:val="00423D59"/>
    <w:rsid w:val="00424A48"/>
    <w:rsid w:val="00424DC6"/>
    <w:rsid w:val="00435BA8"/>
    <w:rsid w:val="0043675E"/>
    <w:rsid w:val="004410A2"/>
    <w:rsid w:val="0044502B"/>
    <w:rsid w:val="00445BD0"/>
    <w:rsid w:val="00446D33"/>
    <w:rsid w:val="004473B2"/>
    <w:rsid w:val="00447C0F"/>
    <w:rsid w:val="00451AC9"/>
    <w:rsid w:val="00452ED3"/>
    <w:rsid w:val="00456757"/>
    <w:rsid w:val="00461990"/>
    <w:rsid w:val="0046681E"/>
    <w:rsid w:val="004746B8"/>
    <w:rsid w:val="00481207"/>
    <w:rsid w:val="00492326"/>
    <w:rsid w:val="00496846"/>
    <w:rsid w:val="004A300A"/>
    <w:rsid w:val="004A705C"/>
    <w:rsid w:val="004A71B1"/>
    <w:rsid w:val="004B051E"/>
    <w:rsid w:val="004B17DC"/>
    <w:rsid w:val="004B6344"/>
    <w:rsid w:val="004B6E0C"/>
    <w:rsid w:val="004B7A0D"/>
    <w:rsid w:val="004C0071"/>
    <w:rsid w:val="004C00C5"/>
    <w:rsid w:val="004C5B5D"/>
    <w:rsid w:val="004C6539"/>
    <w:rsid w:val="004E0A69"/>
    <w:rsid w:val="004E0FEF"/>
    <w:rsid w:val="004E1D15"/>
    <w:rsid w:val="004E34F1"/>
    <w:rsid w:val="004F0A7B"/>
    <w:rsid w:val="004F1D49"/>
    <w:rsid w:val="004F7503"/>
    <w:rsid w:val="00500BD3"/>
    <w:rsid w:val="0050106C"/>
    <w:rsid w:val="005069E3"/>
    <w:rsid w:val="0051553E"/>
    <w:rsid w:val="00515BDF"/>
    <w:rsid w:val="00515C3F"/>
    <w:rsid w:val="005168C1"/>
    <w:rsid w:val="00521FF9"/>
    <w:rsid w:val="00524483"/>
    <w:rsid w:val="00531E50"/>
    <w:rsid w:val="00534B23"/>
    <w:rsid w:val="0053561C"/>
    <w:rsid w:val="00535D2E"/>
    <w:rsid w:val="00536494"/>
    <w:rsid w:val="00537F22"/>
    <w:rsid w:val="0054195F"/>
    <w:rsid w:val="00542D43"/>
    <w:rsid w:val="00544CCF"/>
    <w:rsid w:val="00552C6F"/>
    <w:rsid w:val="00555362"/>
    <w:rsid w:val="0056241D"/>
    <w:rsid w:val="00565FD2"/>
    <w:rsid w:val="00570FDC"/>
    <w:rsid w:val="00576FAF"/>
    <w:rsid w:val="00577D86"/>
    <w:rsid w:val="00581045"/>
    <w:rsid w:val="0058417A"/>
    <w:rsid w:val="005867A2"/>
    <w:rsid w:val="0059010B"/>
    <w:rsid w:val="0059695E"/>
    <w:rsid w:val="0059730A"/>
    <w:rsid w:val="00597F2D"/>
    <w:rsid w:val="005A0B22"/>
    <w:rsid w:val="005A2AB5"/>
    <w:rsid w:val="005C059D"/>
    <w:rsid w:val="005C12C2"/>
    <w:rsid w:val="005C554A"/>
    <w:rsid w:val="005D0889"/>
    <w:rsid w:val="005D28F7"/>
    <w:rsid w:val="005D5904"/>
    <w:rsid w:val="005E2660"/>
    <w:rsid w:val="005F0A56"/>
    <w:rsid w:val="005F19CB"/>
    <w:rsid w:val="005F65A8"/>
    <w:rsid w:val="00603EF0"/>
    <w:rsid w:val="00604289"/>
    <w:rsid w:val="0060788C"/>
    <w:rsid w:val="0061339D"/>
    <w:rsid w:val="00616B4F"/>
    <w:rsid w:val="0061748E"/>
    <w:rsid w:val="006216F5"/>
    <w:rsid w:val="00626D8F"/>
    <w:rsid w:val="00632633"/>
    <w:rsid w:val="00642A9E"/>
    <w:rsid w:val="00643DEA"/>
    <w:rsid w:val="00643F2A"/>
    <w:rsid w:val="006565BF"/>
    <w:rsid w:val="006606E8"/>
    <w:rsid w:val="006626A8"/>
    <w:rsid w:val="00664B0F"/>
    <w:rsid w:val="006726B2"/>
    <w:rsid w:val="0067498B"/>
    <w:rsid w:val="0067519E"/>
    <w:rsid w:val="00675869"/>
    <w:rsid w:val="00683A6D"/>
    <w:rsid w:val="00685D85"/>
    <w:rsid w:val="00690F3C"/>
    <w:rsid w:val="00693780"/>
    <w:rsid w:val="006941C4"/>
    <w:rsid w:val="00697C2B"/>
    <w:rsid w:val="006A0A6C"/>
    <w:rsid w:val="006A48BF"/>
    <w:rsid w:val="006A5077"/>
    <w:rsid w:val="006A7C7B"/>
    <w:rsid w:val="006B1EA3"/>
    <w:rsid w:val="006B6E20"/>
    <w:rsid w:val="006C018B"/>
    <w:rsid w:val="006C3951"/>
    <w:rsid w:val="006C530E"/>
    <w:rsid w:val="006C7C8E"/>
    <w:rsid w:val="006D4658"/>
    <w:rsid w:val="006D4A0B"/>
    <w:rsid w:val="006D6D27"/>
    <w:rsid w:val="006D732B"/>
    <w:rsid w:val="006E16D5"/>
    <w:rsid w:val="006E1D7F"/>
    <w:rsid w:val="006E631B"/>
    <w:rsid w:val="006E6EC0"/>
    <w:rsid w:val="006F20C0"/>
    <w:rsid w:val="006F2F83"/>
    <w:rsid w:val="006F64C7"/>
    <w:rsid w:val="00700C75"/>
    <w:rsid w:val="0070170F"/>
    <w:rsid w:val="00702393"/>
    <w:rsid w:val="00702F63"/>
    <w:rsid w:val="0070544B"/>
    <w:rsid w:val="00713AB4"/>
    <w:rsid w:val="0072331B"/>
    <w:rsid w:val="00726434"/>
    <w:rsid w:val="007308E6"/>
    <w:rsid w:val="00731B4C"/>
    <w:rsid w:val="007348E6"/>
    <w:rsid w:val="007350DD"/>
    <w:rsid w:val="00736F6F"/>
    <w:rsid w:val="00740ABB"/>
    <w:rsid w:val="007459EA"/>
    <w:rsid w:val="00757BF1"/>
    <w:rsid w:val="00762806"/>
    <w:rsid w:val="0076446B"/>
    <w:rsid w:val="00766142"/>
    <w:rsid w:val="00766649"/>
    <w:rsid w:val="007750FA"/>
    <w:rsid w:val="00776FD4"/>
    <w:rsid w:val="00781EFC"/>
    <w:rsid w:val="00782CF9"/>
    <w:rsid w:val="007853FE"/>
    <w:rsid w:val="007875FF"/>
    <w:rsid w:val="007904AF"/>
    <w:rsid w:val="007943F9"/>
    <w:rsid w:val="0079523E"/>
    <w:rsid w:val="0079742D"/>
    <w:rsid w:val="007B0089"/>
    <w:rsid w:val="007B20CD"/>
    <w:rsid w:val="007B2252"/>
    <w:rsid w:val="007D4119"/>
    <w:rsid w:val="007D62B5"/>
    <w:rsid w:val="007D757D"/>
    <w:rsid w:val="007E3E26"/>
    <w:rsid w:val="007E6A00"/>
    <w:rsid w:val="008005FB"/>
    <w:rsid w:val="0080063C"/>
    <w:rsid w:val="0081179D"/>
    <w:rsid w:val="00813745"/>
    <w:rsid w:val="00813EDA"/>
    <w:rsid w:val="00815A89"/>
    <w:rsid w:val="00820F00"/>
    <w:rsid w:val="0082100A"/>
    <w:rsid w:val="00821D6B"/>
    <w:rsid w:val="008224DB"/>
    <w:rsid w:val="008322FD"/>
    <w:rsid w:val="008371AA"/>
    <w:rsid w:val="00837554"/>
    <w:rsid w:val="00841C5A"/>
    <w:rsid w:val="0084500D"/>
    <w:rsid w:val="00846112"/>
    <w:rsid w:val="00847229"/>
    <w:rsid w:val="00847A8E"/>
    <w:rsid w:val="00862A9D"/>
    <w:rsid w:val="008657A5"/>
    <w:rsid w:val="00866A4D"/>
    <w:rsid w:val="00867D6D"/>
    <w:rsid w:val="008741C6"/>
    <w:rsid w:val="0087439F"/>
    <w:rsid w:val="008808C4"/>
    <w:rsid w:val="008839A6"/>
    <w:rsid w:val="00884E51"/>
    <w:rsid w:val="00886B33"/>
    <w:rsid w:val="00887E11"/>
    <w:rsid w:val="008A2871"/>
    <w:rsid w:val="008A35A0"/>
    <w:rsid w:val="008A6687"/>
    <w:rsid w:val="008A6CF6"/>
    <w:rsid w:val="008A78E2"/>
    <w:rsid w:val="008B4FBD"/>
    <w:rsid w:val="008B79F5"/>
    <w:rsid w:val="008C2013"/>
    <w:rsid w:val="008C30DC"/>
    <w:rsid w:val="008D2F8B"/>
    <w:rsid w:val="008D55A7"/>
    <w:rsid w:val="008D575B"/>
    <w:rsid w:val="008D7B8B"/>
    <w:rsid w:val="008E0573"/>
    <w:rsid w:val="0090379D"/>
    <w:rsid w:val="0090401F"/>
    <w:rsid w:val="00905CAA"/>
    <w:rsid w:val="00905ED0"/>
    <w:rsid w:val="0091177F"/>
    <w:rsid w:val="0091371A"/>
    <w:rsid w:val="009163E9"/>
    <w:rsid w:val="009167E9"/>
    <w:rsid w:val="009207AE"/>
    <w:rsid w:val="00920F72"/>
    <w:rsid w:val="00930202"/>
    <w:rsid w:val="009309B4"/>
    <w:rsid w:val="00934489"/>
    <w:rsid w:val="0094243B"/>
    <w:rsid w:val="00953860"/>
    <w:rsid w:val="00960813"/>
    <w:rsid w:val="00960A67"/>
    <w:rsid w:val="009617C2"/>
    <w:rsid w:val="00966355"/>
    <w:rsid w:val="00970EF1"/>
    <w:rsid w:val="00975323"/>
    <w:rsid w:val="009779A2"/>
    <w:rsid w:val="00980787"/>
    <w:rsid w:val="009816D4"/>
    <w:rsid w:val="0098704C"/>
    <w:rsid w:val="009957CF"/>
    <w:rsid w:val="009A4954"/>
    <w:rsid w:val="009A616D"/>
    <w:rsid w:val="009A7EE8"/>
    <w:rsid w:val="009B347B"/>
    <w:rsid w:val="009B4539"/>
    <w:rsid w:val="009B5F89"/>
    <w:rsid w:val="009B7F76"/>
    <w:rsid w:val="009C22B4"/>
    <w:rsid w:val="009C24A3"/>
    <w:rsid w:val="009C3D70"/>
    <w:rsid w:val="009C65B4"/>
    <w:rsid w:val="009C6A24"/>
    <w:rsid w:val="009D20E5"/>
    <w:rsid w:val="009D3420"/>
    <w:rsid w:val="009E35F8"/>
    <w:rsid w:val="009F31F4"/>
    <w:rsid w:val="00A01B53"/>
    <w:rsid w:val="00A01E89"/>
    <w:rsid w:val="00A025D8"/>
    <w:rsid w:val="00A060C4"/>
    <w:rsid w:val="00A07E91"/>
    <w:rsid w:val="00A12614"/>
    <w:rsid w:val="00A16AE9"/>
    <w:rsid w:val="00A1774D"/>
    <w:rsid w:val="00A267F0"/>
    <w:rsid w:val="00A268C3"/>
    <w:rsid w:val="00A323FD"/>
    <w:rsid w:val="00A37BB6"/>
    <w:rsid w:val="00A424A5"/>
    <w:rsid w:val="00A44FBD"/>
    <w:rsid w:val="00A46C9D"/>
    <w:rsid w:val="00A57B8C"/>
    <w:rsid w:val="00A63B16"/>
    <w:rsid w:val="00A647BF"/>
    <w:rsid w:val="00A82D5F"/>
    <w:rsid w:val="00A84195"/>
    <w:rsid w:val="00A8747E"/>
    <w:rsid w:val="00A907E7"/>
    <w:rsid w:val="00A94A5D"/>
    <w:rsid w:val="00AA1614"/>
    <w:rsid w:val="00AA30CD"/>
    <w:rsid w:val="00AB1901"/>
    <w:rsid w:val="00AB1FA9"/>
    <w:rsid w:val="00AC313E"/>
    <w:rsid w:val="00AC4B2A"/>
    <w:rsid w:val="00AE2157"/>
    <w:rsid w:val="00AE2D7B"/>
    <w:rsid w:val="00AE6B30"/>
    <w:rsid w:val="00AE73AD"/>
    <w:rsid w:val="00AF1838"/>
    <w:rsid w:val="00AF6E2E"/>
    <w:rsid w:val="00AF7E7F"/>
    <w:rsid w:val="00B04D4B"/>
    <w:rsid w:val="00B11B42"/>
    <w:rsid w:val="00B11BA7"/>
    <w:rsid w:val="00B14805"/>
    <w:rsid w:val="00B15382"/>
    <w:rsid w:val="00B15F11"/>
    <w:rsid w:val="00B21CF5"/>
    <w:rsid w:val="00B254DC"/>
    <w:rsid w:val="00B27061"/>
    <w:rsid w:val="00B27495"/>
    <w:rsid w:val="00B305A5"/>
    <w:rsid w:val="00B320F5"/>
    <w:rsid w:val="00B351B5"/>
    <w:rsid w:val="00B4380F"/>
    <w:rsid w:val="00B44170"/>
    <w:rsid w:val="00B44860"/>
    <w:rsid w:val="00B541FA"/>
    <w:rsid w:val="00B5712A"/>
    <w:rsid w:val="00B6264D"/>
    <w:rsid w:val="00B72CAA"/>
    <w:rsid w:val="00B7402A"/>
    <w:rsid w:val="00B833FC"/>
    <w:rsid w:val="00B924A3"/>
    <w:rsid w:val="00B93B2F"/>
    <w:rsid w:val="00B95F1D"/>
    <w:rsid w:val="00B97CBE"/>
    <w:rsid w:val="00BB0473"/>
    <w:rsid w:val="00BB2720"/>
    <w:rsid w:val="00BB3EB5"/>
    <w:rsid w:val="00BB6176"/>
    <w:rsid w:val="00BB6315"/>
    <w:rsid w:val="00BC3EC9"/>
    <w:rsid w:val="00BC7559"/>
    <w:rsid w:val="00BD5D0E"/>
    <w:rsid w:val="00BD5EB7"/>
    <w:rsid w:val="00BD64FF"/>
    <w:rsid w:val="00BE5B87"/>
    <w:rsid w:val="00BF0682"/>
    <w:rsid w:val="00BF1344"/>
    <w:rsid w:val="00BF3036"/>
    <w:rsid w:val="00BF333B"/>
    <w:rsid w:val="00C034E3"/>
    <w:rsid w:val="00C049C7"/>
    <w:rsid w:val="00C12932"/>
    <w:rsid w:val="00C20EBA"/>
    <w:rsid w:val="00C255AB"/>
    <w:rsid w:val="00C267C2"/>
    <w:rsid w:val="00C30758"/>
    <w:rsid w:val="00C33CC8"/>
    <w:rsid w:val="00C40C80"/>
    <w:rsid w:val="00C40E0F"/>
    <w:rsid w:val="00C418C2"/>
    <w:rsid w:val="00C4229D"/>
    <w:rsid w:val="00C45065"/>
    <w:rsid w:val="00C47BDC"/>
    <w:rsid w:val="00C52844"/>
    <w:rsid w:val="00C75E16"/>
    <w:rsid w:val="00C820CB"/>
    <w:rsid w:val="00C84649"/>
    <w:rsid w:val="00C92C05"/>
    <w:rsid w:val="00C92FE8"/>
    <w:rsid w:val="00CA42AB"/>
    <w:rsid w:val="00CB43C8"/>
    <w:rsid w:val="00CB49A0"/>
    <w:rsid w:val="00CC2BB5"/>
    <w:rsid w:val="00CD13FD"/>
    <w:rsid w:val="00CD1C7C"/>
    <w:rsid w:val="00CD2267"/>
    <w:rsid w:val="00CD305D"/>
    <w:rsid w:val="00CD5764"/>
    <w:rsid w:val="00CF0544"/>
    <w:rsid w:val="00CF2E41"/>
    <w:rsid w:val="00CF3FAF"/>
    <w:rsid w:val="00CF5F71"/>
    <w:rsid w:val="00CF6109"/>
    <w:rsid w:val="00CF6B17"/>
    <w:rsid w:val="00D1009D"/>
    <w:rsid w:val="00D20B0C"/>
    <w:rsid w:val="00D23A50"/>
    <w:rsid w:val="00D323E8"/>
    <w:rsid w:val="00D44500"/>
    <w:rsid w:val="00D467DB"/>
    <w:rsid w:val="00D54160"/>
    <w:rsid w:val="00D55B51"/>
    <w:rsid w:val="00D64FA8"/>
    <w:rsid w:val="00D66ABD"/>
    <w:rsid w:val="00D75818"/>
    <w:rsid w:val="00D824DE"/>
    <w:rsid w:val="00D82837"/>
    <w:rsid w:val="00D82A23"/>
    <w:rsid w:val="00D84BFA"/>
    <w:rsid w:val="00D90C01"/>
    <w:rsid w:val="00D93DBB"/>
    <w:rsid w:val="00DA1333"/>
    <w:rsid w:val="00DA5EB0"/>
    <w:rsid w:val="00DB3E56"/>
    <w:rsid w:val="00DB5BD6"/>
    <w:rsid w:val="00DC0B2A"/>
    <w:rsid w:val="00DC3DA8"/>
    <w:rsid w:val="00DD2EE3"/>
    <w:rsid w:val="00DD71D4"/>
    <w:rsid w:val="00DE79A7"/>
    <w:rsid w:val="00DF375B"/>
    <w:rsid w:val="00E00CD1"/>
    <w:rsid w:val="00E04346"/>
    <w:rsid w:val="00E07774"/>
    <w:rsid w:val="00E077CA"/>
    <w:rsid w:val="00E20B11"/>
    <w:rsid w:val="00E2351F"/>
    <w:rsid w:val="00E31A3C"/>
    <w:rsid w:val="00E358C0"/>
    <w:rsid w:val="00E40D25"/>
    <w:rsid w:val="00E40EE0"/>
    <w:rsid w:val="00E47CC5"/>
    <w:rsid w:val="00E500F6"/>
    <w:rsid w:val="00E50375"/>
    <w:rsid w:val="00E711B8"/>
    <w:rsid w:val="00E745F8"/>
    <w:rsid w:val="00E75BB9"/>
    <w:rsid w:val="00E87E9A"/>
    <w:rsid w:val="00E923E2"/>
    <w:rsid w:val="00EA1DAF"/>
    <w:rsid w:val="00EA6687"/>
    <w:rsid w:val="00EB34D3"/>
    <w:rsid w:val="00EC5EFD"/>
    <w:rsid w:val="00ED2790"/>
    <w:rsid w:val="00ED3E0A"/>
    <w:rsid w:val="00EE26E4"/>
    <w:rsid w:val="00EE579C"/>
    <w:rsid w:val="00EF0726"/>
    <w:rsid w:val="00EF3BEE"/>
    <w:rsid w:val="00F01071"/>
    <w:rsid w:val="00F05B59"/>
    <w:rsid w:val="00F11AB1"/>
    <w:rsid w:val="00F20161"/>
    <w:rsid w:val="00F22012"/>
    <w:rsid w:val="00F31CF7"/>
    <w:rsid w:val="00F3511F"/>
    <w:rsid w:val="00F418E9"/>
    <w:rsid w:val="00F473A9"/>
    <w:rsid w:val="00F522AD"/>
    <w:rsid w:val="00F559CE"/>
    <w:rsid w:val="00F608B1"/>
    <w:rsid w:val="00F60D20"/>
    <w:rsid w:val="00F62949"/>
    <w:rsid w:val="00F63A27"/>
    <w:rsid w:val="00F66702"/>
    <w:rsid w:val="00F70449"/>
    <w:rsid w:val="00F72F90"/>
    <w:rsid w:val="00F75AF8"/>
    <w:rsid w:val="00F76018"/>
    <w:rsid w:val="00F7709F"/>
    <w:rsid w:val="00F8277D"/>
    <w:rsid w:val="00F836BE"/>
    <w:rsid w:val="00F86D64"/>
    <w:rsid w:val="00F97EA2"/>
    <w:rsid w:val="00FA1731"/>
    <w:rsid w:val="00FA647C"/>
    <w:rsid w:val="00FB04F0"/>
    <w:rsid w:val="00FB7F43"/>
    <w:rsid w:val="00FC45D3"/>
    <w:rsid w:val="00FC584F"/>
    <w:rsid w:val="00FC6ED3"/>
    <w:rsid w:val="00FC7B06"/>
    <w:rsid w:val="00FD4731"/>
    <w:rsid w:val="00FE021B"/>
    <w:rsid w:val="00FE243E"/>
    <w:rsid w:val="00FF15FB"/>
    <w:rsid w:val="00FF3C47"/>
    <w:rsid w:val="00FF76C1"/>
    <w:rsid w:val="0386BB2A"/>
    <w:rsid w:val="0753095F"/>
    <w:rsid w:val="0A6F5DFD"/>
    <w:rsid w:val="0EBBEAEA"/>
    <w:rsid w:val="1015D888"/>
    <w:rsid w:val="20E9D1BF"/>
    <w:rsid w:val="236E5FB8"/>
    <w:rsid w:val="26CC77C5"/>
    <w:rsid w:val="2A87569A"/>
    <w:rsid w:val="2C33BA5D"/>
    <w:rsid w:val="2F29EA8D"/>
    <w:rsid w:val="480EE99E"/>
    <w:rsid w:val="4859963C"/>
    <w:rsid w:val="48981527"/>
    <w:rsid w:val="51874D47"/>
    <w:rsid w:val="5B01A4E9"/>
    <w:rsid w:val="64A37857"/>
    <w:rsid w:val="682BA9AB"/>
    <w:rsid w:val="6ADDFCBE"/>
    <w:rsid w:val="7B36BD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BD6156"/>
  <w15:chartTrackingRefBased/>
  <w15:docId w15:val="{B9260C7D-2A34-4E90-88C5-ED6EDF547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920"/>
    <w:pPr>
      <w:spacing w:after="0" w:line="240" w:lineRule="auto"/>
    </w:pPr>
    <w:rPr>
      <w:rFonts w:ascii="Times New Roman" w:eastAsia="PMingLiU" w:hAnsi="Times New Roman" w:cs="Times New Roman"/>
      <w:kern w:val="0"/>
      <w:lang w:val="en-US"/>
      <w14:ligatures w14:val="none"/>
    </w:rPr>
  </w:style>
  <w:style w:type="paragraph" w:styleId="Heading1">
    <w:name w:val="heading 1"/>
    <w:basedOn w:val="Normal"/>
    <w:next w:val="Normal"/>
    <w:link w:val="Heading1Char"/>
    <w:uiPriority w:val="9"/>
    <w:qFormat/>
    <w:rsid w:val="0015292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5292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5292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5292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5292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52920"/>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52920"/>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52920"/>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52920"/>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5292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5292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5292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5292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5292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5292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5292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5292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52920"/>
    <w:rPr>
      <w:rFonts w:eastAsiaTheme="majorEastAsia" w:cstheme="majorBidi"/>
      <w:color w:val="272727" w:themeColor="text1" w:themeTint="D8"/>
    </w:rPr>
  </w:style>
  <w:style w:type="paragraph" w:styleId="Title">
    <w:name w:val="Title"/>
    <w:basedOn w:val="Normal"/>
    <w:next w:val="Normal"/>
    <w:link w:val="TitleChar"/>
    <w:uiPriority w:val="10"/>
    <w:qFormat/>
    <w:rsid w:val="0015292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5292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5292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5292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52920"/>
    <w:pPr>
      <w:spacing w:before="160"/>
      <w:jc w:val="center"/>
    </w:pPr>
    <w:rPr>
      <w:i/>
      <w:iCs/>
      <w:color w:val="404040" w:themeColor="text1" w:themeTint="BF"/>
    </w:rPr>
  </w:style>
  <w:style w:type="character" w:customStyle="1" w:styleId="QuoteChar">
    <w:name w:val="Quote Char"/>
    <w:basedOn w:val="DefaultParagraphFont"/>
    <w:link w:val="Quote"/>
    <w:uiPriority w:val="29"/>
    <w:rsid w:val="00152920"/>
    <w:rPr>
      <w:i/>
      <w:iCs/>
      <w:color w:val="404040" w:themeColor="text1" w:themeTint="BF"/>
    </w:rPr>
  </w:style>
  <w:style w:type="paragraph" w:styleId="ListParagraph">
    <w:name w:val="List Paragraph"/>
    <w:basedOn w:val="Normal"/>
    <w:uiPriority w:val="34"/>
    <w:qFormat/>
    <w:rsid w:val="00152920"/>
    <w:pPr>
      <w:ind w:left="720"/>
      <w:contextualSpacing/>
    </w:pPr>
  </w:style>
  <w:style w:type="character" w:styleId="IntenseEmphasis">
    <w:name w:val="Intense Emphasis"/>
    <w:basedOn w:val="DefaultParagraphFont"/>
    <w:uiPriority w:val="21"/>
    <w:qFormat/>
    <w:rsid w:val="00152920"/>
    <w:rPr>
      <w:i/>
      <w:iCs/>
      <w:color w:val="0F4761" w:themeColor="accent1" w:themeShade="BF"/>
    </w:rPr>
  </w:style>
  <w:style w:type="paragraph" w:styleId="IntenseQuote">
    <w:name w:val="Intense Quote"/>
    <w:basedOn w:val="Normal"/>
    <w:next w:val="Normal"/>
    <w:link w:val="IntenseQuoteChar"/>
    <w:uiPriority w:val="30"/>
    <w:qFormat/>
    <w:rsid w:val="0015292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52920"/>
    <w:rPr>
      <w:i/>
      <w:iCs/>
      <w:color w:val="0F4761" w:themeColor="accent1" w:themeShade="BF"/>
    </w:rPr>
  </w:style>
  <w:style w:type="character" w:styleId="IntenseReference">
    <w:name w:val="Intense Reference"/>
    <w:basedOn w:val="DefaultParagraphFont"/>
    <w:uiPriority w:val="32"/>
    <w:qFormat/>
    <w:rsid w:val="00152920"/>
    <w:rPr>
      <w:b/>
      <w:bCs/>
      <w:smallCaps/>
      <w:color w:val="0F4761" w:themeColor="accent1" w:themeShade="BF"/>
      <w:spacing w:val="5"/>
    </w:rPr>
  </w:style>
  <w:style w:type="paragraph" w:styleId="FootnoteText">
    <w:name w:val="footnote text"/>
    <w:basedOn w:val="Normal"/>
    <w:link w:val="FootnoteTextChar"/>
    <w:uiPriority w:val="99"/>
    <w:semiHidden/>
    <w:unhideWhenUsed/>
    <w:rsid w:val="00152920"/>
    <w:rPr>
      <w:sz w:val="20"/>
      <w:szCs w:val="20"/>
    </w:rPr>
  </w:style>
  <w:style w:type="character" w:customStyle="1" w:styleId="FootnoteTextChar">
    <w:name w:val="Footnote Text Char"/>
    <w:basedOn w:val="DefaultParagraphFont"/>
    <w:link w:val="FootnoteText"/>
    <w:uiPriority w:val="99"/>
    <w:semiHidden/>
    <w:rsid w:val="00152920"/>
    <w:rPr>
      <w:rFonts w:ascii="Times New Roman" w:eastAsia="PMingLiU"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152920"/>
    <w:rPr>
      <w:vertAlign w:val="superscript"/>
    </w:rPr>
  </w:style>
  <w:style w:type="paragraph" w:styleId="NoSpacing">
    <w:name w:val="No Spacing"/>
    <w:uiPriority w:val="1"/>
    <w:qFormat/>
    <w:rsid w:val="00152920"/>
    <w:pPr>
      <w:spacing w:after="0" w:line="240" w:lineRule="auto"/>
    </w:pPr>
    <w:rPr>
      <w:rFonts w:ascii="Times New Roman" w:eastAsia="PMingLiU" w:hAnsi="Times New Roman" w:cs="Times New Roman"/>
      <w:kern w:val="0"/>
      <w:lang w:val="en-US"/>
      <w14:ligatures w14:val="none"/>
    </w:rPr>
  </w:style>
  <w:style w:type="paragraph" w:styleId="Header">
    <w:name w:val="header"/>
    <w:basedOn w:val="Normal"/>
    <w:link w:val="HeaderChar"/>
    <w:uiPriority w:val="99"/>
    <w:unhideWhenUsed/>
    <w:rsid w:val="001A6CE4"/>
    <w:pPr>
      <w:tabs>
        <w:tab w:val="center" w:pos="4513"/>
        <w:tab w:val="right" w:pos="9026"/>
      </w:tabs>
    </w:pPr>
  </w:style>
  <w:style w:type="character" w:customStyle="1" w:styleId="HeaderChar">
    <w:name w:val="Header Char"/>
    <w:basedOn w:val="DefaultParagraphFont"/>
    <w:link w:val="Header"/>
    <w:uiPriority w:val="99"/>
    <w:rsid w:val="001A6CE4"/>
    <w:rPr>
      <w:rFonts w:ascii="Times New Roman" w:eastAsia="PMingLiU" w:hAnsi="Times New Roman" w:cs="Times New Roman"/>
      <w:kern w:val="0"/>
      <w:lang w:val="en-US"/>
      <w14:ligatures w14:val="none"/>
    </w:rPr>
  </w:style>
  <w:style w:type="paragraph" w:styleId="Footer">
    <w:name w:val="footer"/>
    <w:basedOn w:val="Normal"/>
    <w:link w:val="FooterChar"/>
    <w:uiPriority w:val="99"/>
    <w:unhideWhenUsed/>
    <w:rsid w:val="001A6CE4"/>
    <w:pPr>
      <w:tabs>
        <w:tab w:val="center" w:pos="4513"/>
        <w:tab w:val="right" w:pos="9026"/>
      </w:tabs>
    </w:pPr>
  </w:style>
  <w:style w:type="character" w:customStyle="1" w:styleId="FooterChar">
    <w:name w:val="Footer Char"/>
    <w:basedOn w:val="DefaultParagraphFont"/>
    <w:link w:val="Footer"/>
    <w:uiPriority w:val="99"/>
    <w:rsid w:val="001A6CE4"/>
    <w:rPr>
      <w:rFonts w:ascii="Times New Roman" w:eastAsia="PMingLiU" w:hAnsi="Times New Roman" w:cs="Times New Roman"/>
      <w:kern w:val="0"/>
      <w:lang w:val="en-US"/>
      <w14:ligatures w14:val="none"/>
    </w:rPr>
  </w:style>
  <w:style w:type="character" w:styleId="Hyperlink">
    <w:name w:val="Hyperlink"/>
    <w:basedOn w:val="DefaultParagraphFont"/>
    <w:uiPriority w:val="99"/>
    <w:unhideWhenUsed/>
    <w:rsid w:val="00BB6315"/>
    <w:rPr>
      <w:color w:val="467886" w:themeColor="hyperlink"/>
      <w:u w:val="single"/>
    </w:rPr>
  </w:style>
  <w:style w:type="character" w:styleId="UnresolvedMention">
    <w:name w:val="Unresolved Mention"/>
    <w:basedOn w:val="DefaultParagraphFont"/>
    <w:uiPriority w:val="99"/>
    <w:semiHidden/>
    <w:unhideWhenUsed/>
    <w:rsid w:val="00BB6315"/>
    <w:rPr>
      <w:color w:val="605E5C"/>
      <w:shd w:val="clear" w:color="auto" w:fill="E1DFDD"/>
    </w:rPr>
  </w:style>
  <w:style w:type="numbering" w:customStyle="1" w:styleId="Numberinglist">
    <w:name w:val="Numbering list"/>
    <w:uiPriority w:val="99"/>
    <w:rsid w:val="009957CF"/>
    <w:pPr>
      <w:numPr>
        <w:numId w:val="23"/>
      </w:numPr>
    </w:pPr>
  </w:style>
  <w:style w:type="paragraph" w:styleId="EndnoteText">
    <w:name w:val="endnote text"/>
    <w:basedOn w:val="Normal"/>
    <w:link w:val="EndnoteTextChar"/>
    <w:uiPriority w:val="99"/>
    <w:semiHidden/>
    <w:unhideWhenUsed/>
    <w:rsid w:val="00E31A3C"/>
    <w:rPr>
      <w:sz w:val="20"/>
      <w:szCs w:val="20"/>
    </w:rPr>
  </w:style>
  <w:style w:type="character" w:customStyle="1" w:styleId="EndnoteTextChar">
    <w:name w:val="Endnote Text Char"/>
    <w:basedOn w:val="DefaultParagraphFont"/>
    <w:link w:val="EndnoteText"/>
    <w:uiPriority w:val="99"/>
    <w:semiHidden/>
    <w:rsid w:val="00E31A3C"/>
    <w:rPr>
      <w:rFonts w:ascii="Times New Roman" w:eastAsia="PMingLiU" w:hAnsi="Times New Roman" w:cs="Times New Roman"/>
      <w:kern w:val="0"/>
      <w:sz w:val="20"/>
      <w:szCs w:val="20"/>
      <w:lang w:val="en-US"/>
      <w14:ligatures w14:val="none"/>
    </w:rPr>
  </w:style>
  <w:style w:type="character" w:styleId="EndnoteReference">
    <w:name w:val="endnote reference"/>
    <w:basedOn w:val="DefaultParagraphFont"/>
    <w:uiPriority w:val="99"/>
    <w:semiHidden/>
    <w:unhideWhenUsed/>
    <w:rsid w:val="00E31A3C"/>
    <w:rPr>
      <w:vertAlign w:val="superscript"/>
    </w:rPr>
  </w:style>
  <w:style w:type="paragraph" w:styleId="Revision">
    <w:name w:val="Revision"/>
    <w:hidden/>
    <w:uiPriority w:val="99"/>
    <w:semiHidden/>
    <w:rsid w:val="003332D4"/>
    <w:pPr>
      <w:spacing w:after="0" w:line="240" w:lineRule="auto"/>
    </w:pPr>
    <w:rPr>
      <w:rFonts w:ascii="Times New Roman" w:eastAsia="PMingLiU" w:hAnsi="Times New Roman" w:cs="Times New Roman"/>
      <w:kern w:val="0"/>
      <w:lang w:val="en-US"/>
      <w14:ligatures w14:val="none"/>
    </w:rPr>
  </w:style>
  <w:style w:type="character" w:styleId="CommentReference">
    <w:name w:val="annotation reference"/>
    <w:basedOn w:val="DefaultParagraphFont"/>
    <w:uiPriority w:val="99"/>
    <w:semiHidden/>
    <w:unhideWhenUsed/>
    <w:rsid w:val="008C2013"/>
    <w:rPr>
      <w:sz w:val="16"/>
      <w:szCs w:val="16"/>
    </w:rPr>
  </w:style>
  <w:style w:type="paragraph" w:styleId="CommentText">
    <w:name w:val="annotation text"/>
    <w:basedOn w:val="Normal"/>
    <w:link w:val="CommentTextChar"/>
    <w:uiPriority w:val="99"/>
    <w:unhideWhenUsed/>
    <w:rsid w:val="008C2013"/>
    <w:rPr>
      <w:sz w:val="20"/>
      <w:szCs w:val="20"/>
    </w:rPr>
  </w:style>
  <w:style w:type="character" w:customStyle="1" w:styleId="CommentTextChar">
    <w:name w:val="Comment Text Char"/>
    <w:basedOn w:val="DefaultParagraphFont"/>
    <w:link w:val="CommentText"/>
    <w:uiPriority w:val="99"/>
    <w:rsid w:val="008C2013"/>
    <w:rPr>
      <w:rFonts w:ascii="Times New Roman" w:eastAsia="PMingLiU"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C2013"/>
    <w:rPr>
      <w:b/>
      <w:bCs/>
    </w:rPr>
  </w:style>
  <w:style w:type="character" w:customStyle="1" w:styleId="CommentSubjectChar">
    <w:name w:val="Comment Subject Char"/>
    <w:basedOn w:val="CommentTextChar"/>
    <w:link w:val="CommentSubject"/>
    <w:uiPriority w:val="99"/>
    <w:semiHidden/>
    <w:rsid w:val="008C2013"/>
    <w:rPr>
      <w:rFonts w:ascii="Times New Roman" w:eastAsia="PMingLiU" w:hAnsi="Times New Roman" w:cs="Times New Roman"/>
      <w:b/>
      <w:bCs/>
      <w:kern w:val="0"/>
      <w:sz w:val="20"/>
      <w:szCs w:val="20"/>
      <w:lang w:val="en-US"/>
      <w14:ligatures w14:val="none"/>
    </w:rPr>
  </w:style>
  <w:style w:type="character" w:styleId="FollowedHyperlink">
    <w:name w:val="FollowedHyperlink"/>
    <w:basedOn w:val="DefaultParagraphFont"/>
    <w:uiPriority w:val="99"/>
    <w:semiHidden/>
    <w:unhideWhenUsed/>
    <w:rsid w:val="00114FFD"/>
    <w:rPr>
      <w:color w:val="96607D" w:themeColor="followedHyperlink"/>
      <w:u w:val="single"/>
    </w:rPr>
  </w:style>
  <w:style w:type="character" w:styleId="Mention">
    <w:name w:val="Mention"/>
    <w:basedOn w:val="DefaultParagraphFont"/>
    <w:uiPriority w:val="99"/>
    <w:unhideWhenUsed/>
    <w:rsid w:val="0091371A"/>
    <w:rPr>
      <w:color w:val="2B579A"/>
      <w:shd w:val="clear" w:color="auto" w:fill="E1DFDD"/>
    </w:rPr>
  </w:style>
  <w:style w:type="paragraph" w:styleId="BodyTextIndent">
    <w:name w:val="Body Text Indent"/>
    <w:basedOn w:val="Normal"/>
    <w:link w:val="BodyTextIndentChar"/>
    <w:uiPriority w:val="99"/>
    <w:unhideWhenUsed/>
    <w:rsid w:val="002F4086"/>
    <w:pPr>
      <w:spacing w:after="240"/>
      <w:ind w:left="1440"/>
      <w:jc w:val="both"/>
    </w:pPr>
    <w:rPr>
      <w:rFonts w:ascii="Calibri" w:eastAsia="Arial" w:hAnsi="Calibri" w:cs="Calibri"/>
      <w:color w:val="000000"/>
      <w:sz w:val="24"/>
      <w:szCs w:val="24"/>
    </w:rPr>
  </w:style>
  <w:style w:type="character" w:customStyle="1" w:styleId="BodyTextIndentChar">
    <w:name w:val="Body Text Indent Char"/>
    <w:basedOn w:val="DefaultParagraphFont"/>
    <w:link w:val="BodyTextIndent"/>
    <w:uiPriority w:val="99"/>
    <w:rsid w:val="002F4086"/>
    <w:rPr>
      <w:rFonts w:ascii="Calibri" w:eastAsia="Arial" w:hAnsi="Calibri" w:cs="Calibri"/>
      <w:color w:val="000000"/>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youtu.be/LJkR8Dx1SW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statistics/civil-justice-statistics-quarterly-october-to-december-2025/civil-justice-statistics-quarterly-october-to-december-2025#judicial-reviews5"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udiciary.uk/structure-of-courts-and-tribunals-syste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www.judiciary.uk/wp-content/uploads/2022/09/Admin-Court-Judicial-Review-Guide.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23b5e08-ba8c-4bd7-b20e-cbe7492a46ba">
      <Terms xmlns="http://schemas.microsoft.com/office/infopath/2007/PartnerControls"/>
    </lcf76f155ced4ddcb4097134ff3c332f>
    <TaxCatchAll xmlns="47bbf43c-25fc-4f07-bd62-31a705b9da0f"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971894E759C54CA62FDFBAEA51422C" ma:contentTypeVersion="13" ma:contentTypeDescription="Create a new document." ma:contentTypeScope="" ma:versionID="d254bdd2b129dfb7c982dd1ac1501de0">
  <xsd:schema xmlns:xsd="http://www.w3.org/2001/XMLSchema" xmlns:xs="http://www.w3.org/2001/XMLSchema" xmlns:p="http://schemas.microsoft.com/office/2006/metadata/properties" xmlns:ns2="b23b5e08-ba8c-4bd7-b20e-cbe7492a46ba" xmlns:ns3="47bbf43c-25fc-4f07-bd62-31a705b9da0f" targetNamespace="http://schemas.microsoft.com/office/2006/metadata/properties" ma:root="true" ma:fieldsID="9f6664cc37d3d4fe6ff40156a9ea7036" ns2:_="" ns3:_="">
    <xsd:import namespace="b23b5e08-ba8c-4bd7-b20e-cbe7492a46ba"/>
    <xsd:import namespace="47bbf43c-25fc-4f07-bd62-31a705b9da0f"/>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3b5e08-ba8c-4bd7-b20e-cbe7492a46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e5a3e9-c3e2-4c28-a279-a208435469ef"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bbf43c-25fc-4f07-bd62-31a705b9da0f"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bf782e3-0666-4f55-ab28-479151f8830a}" ma:internalName="TaxCatchAll" ma:showField="CatchAllData" ma:web="47bbf43c-25fc-4f07-bd62-31a705b9da0f">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B963D3-2135-4048-A9FE-CEEDF9A99EA2}">
  <ds:schemaRefs>
    <ds:schemaRef ds:uri="http://schemas.microsoft.com/sharepoint/v3/contenttype/forms"/>
  </ds:schemaRefs>
</ds:datastoreItem>
</file>

<file path=customXml/itemProps2.xml><?xml version="1.0" encoding="utf-8"?>
<ds:datastoreItem xmlns:ds="http://schemas.openxmlformats.org/officeDocument/2006/customXml" ds:itemID="{DBF92BF0-CFE4-468E-A28E-B7AE3163AB72}">
  <ds:schemaRefs>
    <ds:schemaRef ds:uri="http://schemas.microsoft.com/office/2006/metadata/properties"/>
    <ds:schemaRef ds:uri="http://schemas.microsoft.com/office/infopath/2007/PartnerControls"/>
    <ds:schemaRef ds:uri="b23b5e08-ba8c-4bd7-b20e-cbe7492a46ba"/>
    <ds:schemaRef ds:uri="47bbf43c-25fc-4f07-bd62-31a705b9da0f"/>
  </ds:schemaRefs>
</ds:datastoreItem>
</file>

<file path=customXml/itemProps3.xml><?xml version="1.0" encoding="utf-8"?>
<ds:datastoreItem xmlns:ds="http://schemas.openxmlformats.org/officeDocument/2006/customXml" ds:itemID="{FA35343C-2266-47B1-98F9-CAC765EB28E5}">
  <ds:schemaRefs>
    <ds:schemaRef ds:uri="http://schemas.openxmlformats.org/officeDocument/2006/bibliography"/>
  </ds:schemaRefs>
</ds:datastoreItem>
</file>

<file path=customXml/itemProps4.xml><?xml version="1.0" encoding="utf-8"?>
<ds:datastoreItem xmlns:ds="http://schemas.openxmlformats.org/officeDocument/2006/customXml" ds:itemID="{538822DB-6527-40BC-8AA5-F5CBC03A16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3b5e08-ba8c-4bd7-b20e-cbe7492a46ba"/>
    <ds:schemaRef ds:uri="47bbf43c-25fc-4f07-bd62-31a705b9da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27</Pages>
  <Words>7436</Words>
  <Characters>42390</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Amélie Godfrey</dc:creator>
  <cp:keywords/>
  <dc:description/>
  <cp:lastModifiedBy>Nicole Chen</cp:lastModifiedBy>
  <cp:revision>3</cp:revision>
  <dcterms:created xsi:type="dcterms:W3CDTF">2026-05-06T16:45:00Z</dcterms:created>
  <dcterms:modified xsi:type="dcterms:W3CDTF">2026-05-08T09:50:00Z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0x010100B8971894E759C54CA62FDFBAEA51422C</vt:lpwstr>
  </property>
  <property fmtid="{D5CDD505-2E9C-101B-9397-08002B2CF9AE}" pid="3" name="MediaServiceImageTags">
    <vt:lpwstr/>
  </property>
</Properties>
</file>